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CA" w:rsidRDefault="00D354D8" w:rsidP="001D49CA">
      <w:pPr>
        <w:rPr>
          <w:color w:val="8064A2" w:themeColor="accent4"/>
          <w:sz w:val="56"/>
          <w:szCs w:val="56"/>
        </w:rPr>
      </w:pPr>
      <w:r w:rsidRPr="00D354D8">
        <w:rPr>
          <w:noProof/>
          <w:color w:val="8064A2" w:themeColor="accent4"/>
          <w:sz w:val="56"/>
          <w:szCs w:val="56"/>
          <w:lang w:eastAsia="en-IE"/>
        </w:rPr>
        <w:drawing>
          <wp:anchor distT="0" distB="0" distL="114300" distR="114300" simplePos="0" relativeHeight="251659264" behindDoc="0" locked="0" layoutInCell="1" allowOverlap="1">
            <wp:simplePos x="0" y="0"/>
            <wp:positionH relativeFrom="column">
              <wp:posOffset>1285875</wp:posOffset>
            </wp:positionH>
            <wp:positionV relativeFrom="paragraph">
              <wp:posOffset>-457200</wp:posOffset>
            </wp:positionV>
            <wp:extent cx="3458210" cy="990600"/>
            <wp:effectExtent l="19050" t="0" r="8890" b="0"/>
            <wp:wrapThrough wrapText="bothSides">
              <wp:wrapPolygon edited="0">
                <wp:start x="2737" y="0"/>
                <wp:lineTo x="1428" y="3323"/>
                <wp:lineTo x="1428" y="5400"/>
                <wp:lineTo x="2142" y="6646"/>
                <wp:lineTo x="-119" y="11631"/>
                <wp:lineTo x="-119" y="12046"/>
                <wp:lineTo x="2142" y="13292"/>
                <wp:lineTo x="2499" y="17862"/>
                <wp:lineTo x="3094" y="17862"/>
                <wp:lineTo x="4878" y="17862"/>
                <wp:lineTo x="19038" y="17862"/>
                <wp:lineTo x="19871" y="17446"/>
                <wp:lineTo x="19633" y="13292"/>
                <wp:lineTo x="21656" y="12046"/>
                <wp:lineTo x="21656" y="11631"/>
                <wp:lineTo x="19633" y="6646"/>
                <wp:lineTo x="19752" y="4985"/>
                <wp:lineTo x="15944" y="3323"/>
                <wp:lineTo x="4165" y="0"/>
                <wp:lineTo x="2737" y="0"/>
              </wp:wrapPolygon>
            </wp:wrapThrough>
            <wp:docPr id="2" name="Picture 4" descr="cid:a03e9dce-2294-47dd-b01c-1423f3f0781e@laservice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a03e9dce-2294-47dd-b01c-1423f3f0781e@laservices.ie"/>
                    <pic:cNvPicPr>
                      <a:picLocks noChangeAspect="1" noChangeArrowheads="1"/>
                    </pic:cNvPicPr>
                  </pic:nvPicPr>
                  <pic:blipFill>
                    <a:blip r:embed="rId8" r:link="rId9" cstate="print"/>
                    <a:srcRect/>
                    <a:stretch>
                      <a:fillRect/>
                    </a:stretch>
                  </pic:blipFill>
                  <pic:spPr bwMode="auto">
                    <a:xfrm>
                      <a:off x="0" y="0"/>
                      <a:ext cx="3458210" cy="990600"/>
                    </a:xfrm>
                    <a:prstGeom prst="rect">
                      <a:avLst/>
                    </a:prstGeom>
                    <a:noFill/>
                    <a:ln w="9525">
                      <a:noFill/>
                      <a:miter lim="800000"/>
                      <a:headEnd/>
                      <a:tailEnd/>
                    </a:ln>
                  </pic:spPr>
                </pic:pic>
              </a:graphicData>
            </a:graphic>
          </wp:anchor>
        </w:drawing>
      </w:r>
    </w:p>
    <w:p w:rsidR="00DD5C27" w:rsidRPr="001D49CA" w:rsidRDefault="00F25352" w:rsidP="001D49CA">
      <w:pPr>
        <w:jc w:val="center"/>
        <w:rPr>
          <w:color w:val="8064A2" w:themeColor="accent4"/>
          <w:sz w:val="56"/>
          <w:szCs w:val="56"/>
        </w:rPr>
      </w:pPr>
      <w:r w:rsidRPr="00306692">
        <w:rPr>
          <w:b/>
          <w:color w:val="00B050"/>
          <w:sz w:val="32"/>
          <w:szCs w:val="32"/>
        </w:rPr>
        <w:t>Public Participation Network News</w:t>
      </w:r>
    </w:p>
    <w:p w:rsidR="002243FD" w:rsidRPr="001E63EC" w:rsidRDefault="00F25352" w:rsidP="00DD5C27">
      <w:pPr>
        <w:rPr>
          <w:b/>
        </w:rPr>
      </w:pPr>
      <w:r>
        <w:rPr>
          <w:b/>
        </w:rPr>
        <w:t xml:space="preserve">A warm welcome </w:t>
      </w:r>
      <w:r w:rsidR="002571AC">
        <w:rPr>
          <w:b/>
        </w:rPr>
        <w:t>is extended to all our new members from</w:t>
      </w:r>
      <w:r>
        <w:rPr>
          <w:b/>
        </w:rPr>
        <w:t xml:space="preserve"> around Meath. </w:t>
      </w:r>
      <w:r w:rsidR="00F73D48">
        <w:rPr>
          <w:b/>
        </w:rPr>
        <w:t xml:space="preserve"> We have now over 470 voluntary led organisations within the Network. We are hoping that the m</w:t>
      </w:r>
      <w:r w:rsidR="002243FD">
        <w:rPr>
          <w:b/>
        </w:rPr>
        <w:t>embership will continue to grow and look forward to welcoming new members.</w:t>
      </w:r>
    </w:p>
    <w:p w:rsidR="00B25486" w:rsidRDefault="002571AC" w:rsidP="00DD5C27">
      <w:pPr>
        <w:rPr>
          <w:b/>
          <w:color w:val="00B050"/>
          <w:sz w:val="28"/>
          <w:szCs w:val="28"/>
        </w:rPr>
      </w:pPr>
      <w:r w:rsidRPr="00306692">
        <w:rPr>
          <w:b/>
          <w:color w:val="00B050"/>
          <w:sz w:val="28"/>
          <w:szCs w:val="28"/>
        </w:rPr>
        <w:t>Inform</w:t>
      </w:r>
      <w:r w:rsidR="00B25486">
        <w:rPr>
          <w:b/>
          <w:color w:val="00B050"/>
          <w:sz w:val="28"/>
          <w:szCs w:val="28"/>
        </w:rPr>
        <w:t>ation on Grant Schemes</w:t>
      </w:r>
      <w:r w:rsidRPr="00306692">
        <w:rPr>
          <w:b/>
          <w:color w:val="00B050"/>
          <w:sz w:val="28"/>
          <w:szCs w:val="28"/>
        </w:rPr>
        <w:t xml:space="preserve"> available:</w:t>
      </w:r>
    </w:p>
    <w:p w:rsidR="00BE742D" w:rsidRPr="00BE742D" w:rsidRDefault="00EF0F9B" w:rsidP="00BE742D">
      <w:pPr>
        <w:pStyle w:val="ListParagraph"/>
        <w:numPr>
          <w:ilvl w:val="0"/>
          <w:numId w:val="2"/>
        </w:numPr>
        <w:rPr>
          <w:b/>
          <w:sz w:val="24"/>
          <w:szCs w:val="24"/>
        </w:rPr>
      </w:pPr>
      <w:r w:rsidRPr="00EF0F9B">
        <w:rPr>
          <w:b/>
          <w:sz w:val="24"/>
          <w:szCs w:val="24"/>
        </w:rPr>
        <w:t>Check</w:t>
      </w:r>
      <w:r w:rsidR="003354BA">
        <w:rPr>
          <w:b/>
          <w:sz w:val="24"/>
          <w:szCs w:val="24"/>
        </w:rPr>
        <w:t xml:space="preserve"> out our Funding Digest on the link below</w:t>
      </w:r>
    </w:p>
    <w:p w:rsidR="009858D8" w:rsidRDefault="009858D8" w:rsidP="009858D8">
      <w:pPr>
        <w:pStyle w:val="NormalWeb"/>
        <w:ind w:left="720"/>
        <w:rPr>
          <w:rFonts w:ascii="Georgia" w:hAnsi="Georgia"/>
          <w:color w:val="333333"/>
          <w:lang w:val="en-US"/>
        </w:rPr>
      </w:pPr>
      <w:hyperlink r:id="rId10" w:history="1">
        <w:proofErr w:type="spellStart"/>
        <w:r>
          <w:rPr>
            <w:rStyle w:val="Hyperlink"/>
            <w:rFonts w:ascii="Georgia" w:hAnsi="Georgia"/>
            <w:lang w:val="en-US"/>
          </w:rPr>
          <w:t>Fundingpoint</w:t>
        </w:r>
        <w:proofErr w:type="spellEnd"/>
        <w:r>
          <w:rPr>
            <w:rStyle w:val="Hyperlink"/>
            <w:rFonts w:ascii="Georgia" w:hAnsi="Georgia"/>
            <w:lang w:val="en-US"/>
          </w:rPr>
          <w:t xml:space="preserve"> Local Access - Meath County Council Apr - May 2017</w:t>
        </w:r>
      </w:hyperlink>
    </w:p>
    <w:p w:rsidR="003354BA" w:rsidRPr="003354BA" w:rsidRDefault="003354BA" w:rsidP="003354BA">
      <w:pPr>
        <w:pStyle w:val="NormalWeb"/>
        <w:spacing w:before="0" w:beforeAutospacing="0" w:after="0" w:afterAutospacing="0"/>
        <w:rPr>
          <w:rFonts w:asciiTheme="minorHAnsi" w:hAnsiTheme="minorHAnsi"/>
          <w:b/>
          <w:color w:val="00B050"/>
          <w:sz w:val="28"/>
          <w:szCs w:val="28"/>
          <w:lang w:val="en-US"/>
        </w:rPr>
      </w:pPr>
      <w:r w:rsidRPr="003354BA">
        <w:rPr>
          <w:rFonts w:asciiTheme="minorHAnsi" w:hAnsiTheme="minorHAnsi"/>
          <w:b/>
          <w:color w:val="00B050"/>
          <w:sz w:val="28"/>
          <w:szCs w:val="28"/>
        </w:rPr>
        <w:t>Check out the local grant schemes that may be of interest to you</w:t>
      </w:r>
      <w:r w:rsidR="001D49CA">
        <w:rPr>
          <w:rFonts w:asciiTheme="minorHAnsi" w:hAnsiTheme="minorHAnsi"/>
          <w:b/>
          <w:color w:val="00B050"/>
          <w:sz w:val="28"/>
          <w:szCs w:val="28"/>
        </w:rPr>
        <w:t>:</w:t>
      </w:r>
    </w:p>
    <w:p w:rsidR="00BE742D" w:rsidRPr="00BE742D" w:rsidRDefault="00BE742D" w:rsidP="00BE742D">
      <w:pPr>
        <w:pStyle w:val="NormalWeb"/>
        <w:spacing w:before="0" w:beforeAutospacing="0" w:after="0" w:afterAutospacing="0"/>
        <w:ind w:left="720"/>
        <w:rPr>
          <w:rFonts w:ascii="Georgia" w:hAnsi="Georgia"/>
          <w:color w:val="333333"/>
          <w:lang w:val="en-US"/>
        </w:rPr>
      </w:pPr>
    </w:p>
    <w:p w:rsidR="00F73D48" w:rsidRPr="00BE742D" w:rsidRDefault="00F73D48" w:rsidP="00BE742D">
      <w:pPr>
        <w:pStyle w:val="ListParagraph"/>
        <w:numPr>
          <w:ilvl w:val="0"/>
          <w:numId w:val="2"/>
        </w:numPr>
        <w:spacing w:after="0" w:line="240" w:lineRule="auto"/>
        <w:rPr>
          <w:b/>
          <w:sz w:val="24"/>
          <w:szCs w:val="24"/>
        </w:rPr>
      </w:pPr>
      <w:r w:rsidRPr="00BE742D">
        <w:rPr>
          <w:b/>
          <w:sz w:val="24"/>
          <w:szCs w:val="24"/>
        </w:rPr>
        <w:t>Co</w:t>
      </w:r>
      <w:r w:rsidR="002571AC" w:rsidRPr="00BE742D">
        <w:rPr>
          <w:b/>
          <w:sz w:val="24"/>
          <w:szCs w:val="24"/>
        </w:rPr>
        <w:t>mmunity Facilities Grant Scheme</w:t>
      </w:r>
    </w:p>
    <w:p w:rsidR="00BE742D" w:rsidRDefault="00BE742D" w:rsidP="00BE742D">
      <w:pPr>
        <w:pStyle w:val="NormalWeb"/>
        <w:spacing w:before="0" w:beforeAutospacing="0" w:after="0" w:afterAutospacing="0"/>
        <w:ind w:firstLine="360"/>
      </w:pPr>
    </w:p>
    <w:p w:rsidR="00F73D48" w:rsidRPr="002571AC" w:rsidRDefault="005458F1" w:rsidP="00BE742D">
      <w:pPr>
        <w:pStyle w:val="NormalWeb"/>
        <w:spacing w:before="0" w:beforeAutospacing="0" w:after="0" w:afterAutospacing="0"/>
        <w:ind w:firstLine="720"/>
        <w:rPr>
          <w:rFonts w:ascii="Georgia" w:hAnsi="Georgia"/>
          <w:color w:val="333333"/>
          <w:lang w:val="en-US"/>
        </w:rPr>
      </w:pPr>
      <w:hyperlink r:id="rId11" w:history="1">
        <w:r w:rsidR="00F73D48" w:rsidRPr="002571AC">
          <w:rPr>
            <w:rStyle w:val="Hyperlink"/>
            <w:rFonts w:ascii="Georgia" w:hAnsi="Georgia"/>
            <w:lang w:val="en-US"/>
          </w:rPr>
          <w:t>CFS application guidelines1 2017</w:t>
        </w:r>
      </w:hyperlink>
    </w:p>
    <w:p w:rsidR="002571AC" w:rsidRDefault="005458F1" w:rsidP="00BE742D">
      <w:pPr>
        <w:pStyle w:val="NormalWeb"/>
        <w:ind w:firstLine="720"/>
        <w:rPr>
          <w:rFonts w:ascii="Georgia" w:hAnsi="Georgia"/>
          <w:color w:val="333333"/>
          <w:lang w:val="en-US"/>
        </w:rPr>
      </w:pPr>
      <w:hyperlink r:id="rId12" w:history="1">
        <w:r w:rsidR="00F73D48" w:rsidRPr="002571AC">
          <w:rPr>
            <w:rStyle w:val="Hyperlink"/>
            <w:rFonts w:ascii="Georgia" w:hAnsi="Georgia"/>
            <w:lang w:val="en-US"/>
          </w:rPr>
          <w:t>CFS application form1 2017</w:t>
        </w:r>
      </w:hyperlink>
    </w:p>
    <w:p w:rsidR="002571AC" w:rsidRDefault="002571AC" w:rsidP="002571AC">
      <w:pPr>
        <w:pStyle w:val="NormalWeb"/>
        <w:numPr>
          <w:ilvl w:val="0"/>
          <w:numId w:val="2"/>
        </w:numPr>
        <w:rPr>
          <w:rFonts w:asciiTheme="minorHAnsi" w:hAnsiTheme="minorHAnsi"/>
          <w:b/>
          <w:color w:val="333333"/>
          <w:lang w:val="en-US"/>
        </w:rPr>
      </w:pPr>
      <w:r w:rsidRPr="002571AC">
        <w:rPr>
          <w:rFonts w:asciiTheme="minorHAnsi" w:hAnsiTheme="minorHAnsi"/>
          <w:b/>
          <w:color w:val="333333"/>
          <w:lang w:val="en-US"/>
        </w:rPr>
        <w:t>Meath County Council Heritage Grant Scheme</w:t>
      </w:r>
    </w:p>
    <w:p w:rsidR="002571AC" w:rsidRPr="002960D1" w:rsidRDefault="005458F1" w:rsidP="002571AC">
      <w:pPr>
        <w:pStyle w:val="NormalWeb"/>
        <w:ind w:left="720"/>
        <w:rPr>
          <w:rFonts w:asciiTheme="minorHAnsi" w:hAnsiTheme="minorHAnsi"/>
          <w:color w:val="333333"/>
          <w:lang w:val="en-US"/>
        </w:rPr>
      </w:pPr>
      <w:hyperlink r:id="rId13" w:history="1">
        <w:r w:rsidR="00701BEC" w:rsidRPr="002960D1">
          <w:rPr>
            <w:rStyle w:val="Hyperlink"/>
            <w:rFonts w:asciiTheme="minorHAnsi" w:hAnsiTheme="minorHAnsi"/>
            <w:lang w:val="en-US"/>
          </w:rPr>
          <w:t>Community Heritage Grant Scheme Form 2017 Guidelines</w:t>
        </w:r>
      </w:hyperlink>
    </w:p>
    <w:p w:rsidR="00701BEC" w:rsidRPr="002960D1" w:rsidRDefault="005458F1" w:rsidP="00701BEC">
      <w:pPr>
        <w:pStyle w:val="NormalWeb"/>
        <w:rPr>
          <w:rFonts w:asciiTheme="minorHAnsi" w:hAnsiTheme="minorHAnsi"/>
          <w:color w:val="333333"/>
          <w:lang w:val="en-US"/>
        </w:rPr>
      </w:pPr>
      <w:hyperlink r:id="rId14" w:history="1">
        <w:r w:rsidR="00701BEC" w:rsidRPr="002960D1">
          <w:rPr>
            <w:rStyle w:val="Hyperlink"/>
            <w:rFonts w:asciiTheme="minorHAnsi" w:hAnsiTheme="minorHAnsi"/>
            <w:lang w:val="en-US"/>
          </w:rPr>
          <w:t>Community Heritage Grant Scheme Form 2017 Application Form Final (2)</w:t>
        </w:r>
      </w:hyperlink>
    </w:p>
    <w:p w:rsidR="00701BEC" w:rsidRPr="00701BEC" w:rsidRDefault="00701BEC" w:rsidP="00701BEC">
      <w:pPr>
        <w:pStyle w:val="NormalWeb"/>
        <w:numPr>
          <w:ilvl w:val="0"/>
          <w:numId w:val="2"/>
        </w:numPr>
        <w:rPr>
          <w:rFonts w:asciiTheme="minorHAnsi" w:hAnsiTheme="minorHAnsi"/>
          <w:b/>
          <w:color w:val="333333"/>
          <w:lang w:val="en-US"/>
        </w:rPr>
      </w:pPr>
      <w:r w:rsidRPr="00701BEC">
        <w:rPr>
          <w:rFonts w:asciiTheme="minorHAnsi" w:hAnsiTheme="minorHAnsi"/>
          <w:b/>
          <w:color w:val="333333"/>
          <w:lang w:val="en-US"/>
        </w:rPr>
        <w:t>Funding for National Bike Week Events</w:t>
      </w:r>
    </w:p>
    <w:p w:rsidR="00701BEC" w:rsidRDefault="005458F1" w:rsidP="002571AC">
      <w:pPr>
        <w:pStyle w:val="NormalWeb"/>
        <w:ind w:left="720"/>
      </w:pPr>
      <w:r>
        <w:fldChar w:fldCharType="begin"/>
      </w:r>
      <w:r>
        <w:instrText>HYPERLINK "http://www.meathsports.ie/wp-content/uploads/2017/03/Application-form-and-Criteria-2017.docx"</w:instrText>
      </w:r>
      <w:r>
        <w:fldChar w:fldCharType="separate"/>
      </w:r>
      <w:r w:rsidR="00701BEC" w:rsidRPr="00F63839">
        <w:rPr>
          <w:rStyle w:val="Hyperlink"/>
          <w:rFonts w:asciiTheme="minorHAnsi" w:hAnsiTheme="minorHAnsi" w:cs="Arial"/>
          <w:color w:val="0070C0"/>
          <w:bdr w:val="none" w:sz="0" w:space="0" w:color="auto" w:frame="1"/>
          <w:shd w:val="clear" w:color="auto" w:fill="FFFFFF"/>
        </w:rPr>
        <w:t>Application form and Criteria 2017</w:t>
      </w:r>
      <w:r>
        <w:fldChar w:fldCharType="end"/>
      </w:r>
    </w:p>
    <w:p w:rsidR="00F63839" w:rsidRPr="00306692" w:rsidRDefault="002243FD" w:rsidP="002243FD">
      <w:pPr>
        <w:pStyle w:val="NormalWeb"/>
        <w:rPr>
          <w:rFonts w:asciiTheme="minorHAnsi" w:hAnsiTheme="minorHAnsi"/>
          <w:b/>
          <w:color w:val="00B050"/>
          <w:sz w:val="28"/>
          <w:szCs w:val="28"/>
        </w:rPr>
      </w:pPr>
      <w:r w:rsidRPr="00306692">
        <w:rPr>
          <w:rFonts w:asciiTheme="minorHAnsi" w:hAnsiTheme="minorHAnsi"/>
          <w:b/>
          <w:color w:val="00B050"/>
          <w:sz w:val="28"/>
          <w:szCs w:val="28"/>
        </w:rPr>
        <w:t>Dates for your diary:</w:t>
      </w:r>
    </w:p>
    <w:p w:rsidR="001E63EC" w:rsidRDefault="002243FD" w:rsidP="00CE4AB6">
      <w:pPr>
        <w:pStyle w:val="NormalWeb"/>
        <w:rPr>
          <w:color w:val="7030A0"/>
        </w:rPr>
      </w:pPr>
      <w:r w:rsidRPr="00884A80">
        <w:rPr>
          <w:rFonts w:asciiTheme="minorHAnsi" w:hAnsiTheme="minorHAnsi"/>
          <w:b/>
        </w:rPr>
        <w:t>The PPN Municipal District meetings are being held around the cou</w:t>
      </w:r>
      <w:r w:rsidR="001E63EC" w:rsidRPr="00884A80">
        <w:rPr>
          <w:rFonts w:asciiTheme="minorHAnsi" w:hAnsiTheme="minorHAnsi"/>
          <w:b/>
        </w:rPr>
        <w:t>nty over the next two weeks.</w:t>
      </w:r>
    </w:p>
    <w:tbl>
      <w:tblPr>
        <w:tblStyle w:val="LightShading-Accent4"/>
        <w:tblW w:w="9322" w:type="dxa"/>
        <w:tblLook w:val="04A0"/>
      </w:tblPr>
      <w:tblGrid>
        <w:gridCol w:w="2324"/>
        <w:gridCol w:w="3930"/>
        <w:gridCol w:w="3068"/>
      </w:tblGrid>
      <w:tr w:rsidR="001E63EC" w:rsidRPr="00CE4AB6" w:rsidTr="00CE4AB6">
        <w:trPr>
          <w:cnfStyle w:val="100000000000"/>
        </w:trPr>
        <w:tc>
          <w:tcPr>
            <w:cnfStyle w:val="001000000000"/>
            <w:tcW w:w="2324" w:type="dxa"/>
          </w:tcPr>
          <w:p w:rsidR="001E63EC" w:rsidRPr="00CE4AB6" w:rsidRDefault="001E63EC" w:rsidP="001E63EC">
            <w:pPr>
              <w:jc w:val="center"/>
              <w:rPr>
                <w:b w:val="0"/>
                <w:i/>
                <w:color w:val="7030A0"/>
                <w:sz w:val="24"/>
                <w:szCs w:val="24"/>
              </w:rPr>
            </w:pPr>
            <w:r w:rsidRPr="00CE4AB6">
              <w:rPr>
                <w:i/>
                <w:color w:val="7030A0"/>
                <w:sz w:val="24"/>
                <w:szCs w:val="24"/>
              </w:rPr>
              <w:t>District</w:t>
            </w:r>
          </w:p>
        </w:tc>
        <w:tc>
          <w:tcPr>
            <w:tcW w:w="3930" w:type="dxa"/>
          </w:tcPr>
          <w:p w:rsidR="001E63EC" w:rsidRPr="00CE4AB6" w:rsidRDefault="001E63EC" w:rsidP="001E63EC">
            <w:pPr>
              <w:jc w:val="center"/>
              <w:cnfStyle w:val="100000000000"/>
              <w:rPr>
                <w:b w:val="0"/>
                <w:i/>
                <w:color w:val="7030A0"/>
                <w:sz w:val="24"/>
                <w:szCs w:val="24"/>
              </w:rPr>
            </w:pPr>
            <w:r w:rsidRPr="00CE4AB6">
              <w:rPr>
                <w:i/>
                <w:color w:val="7030A0"/>
                <w:sz w:val="24"/>
                <w:szCs w:val="24"/>
              </w:rPr>
              <w:t xml:space="preserve">Venue </w:t>
            </w:r>
          </w:p>
        </w:tc>
        <w:tc>
          <w:tcPr>
            <w:tcW w:w="3068" w:type="dxa"/>
          </w:tcPr>
          <w:p w:rsidR="001E63EC" w:rsidRPr="00CE4AB6" w:rsidRDefault="001E63EC" w:rsidP="001E63EC">
            <w:pPr>
              <w:jc w:val="center"/>
              <w:cnfStyle w:val="100000000000"/>
              <w:rPr>
                <w:b w:val="0"/>
                <w:i/>
                <w:color w:val="7030A0"/>
                <w:sz w:val="24"/>
                <w:szCs w:val="24"/>
              </w:rPr>
            </w:pPr>
            <w:r w:rsidRPr="00CE4AB6">
              <w:rPr>
                <w:i/>
                <w:color w:val="7030A0"/>
                <w:sz w:val="24"/>
                <w:szCs w:val="24"/>
              </w:rPr>
              <w:t xml:space="preserve">Date/Time </w:t>
            </w:r>
          </w:p>
        </w:tc>
      </w:tr>
      <w:tr w:rsidR="001E63EC" w:rsidRPr="00CE4AB6" w:rsidTr="00CE4AB6">
        <w:trPr>
          <w:cnfStyle w:val="000000100000"/>
        </w:trPr>
        <w:tc>
          <w:tcPr>
            <w:cnfStyle w:val="001000000000"/>
            <w:tcW w:w="2324" w:type="dxa"/>
          </w:tcPr>
          <w:p w:rsidR="001E63EC" w:rsidRPr="00CE4AB6" w:rsidRDefault="001E63EC" w:rsidP="001E63EC">
            <w:pPr>
              <w:jc w:val="center"/>
              <w:rPr>
                <w:i/>
                <w:color w:val="7030A0"/>
                <w:sz w:val="24"/>
                <w:szCs w:val="24"/>
              </w:rPr>
            </w:pPr>
            <w:proofErr w:type="spellStart"/>
            <w:r w:rsidRPr="00CE4AB6">
              <w:rPr>
                <w:i/>
                <w:color w:val="7030A0"/>
                <w:sz w:val="24"/>
                <w:szCs w:val="24"/>
              </w:rPr>
              <w:t>Ashbourne</w:t>
            </w:r>
            <w:proofErr w:type="spellEnd"/>
          </w:p>
        </w:tc>
        <w:tc>
          <w:tcPr>
            <w:tcW w:w="3930" w:type="dxa"/>
          </w:tcPr>
          <w:p w:rsidR="001E63EC" w:rsidRPr="00CE4AB6" w:rsidRDefault="001E63EC" w:rsidP="001E63EC">
            <w:pPr>
              <w:jc w:val="center"/>
              <w:cnfStyle w:val="000000100000"/>
              <w:rPr>
                <w:i/>
                <w:color w:val="7030A0"/>
                <w:sz w:val="24"/>
                <w:szCs w:val="24"/>
              </w:rPr>
            </w:pPr>
            <w:r w:rsidRPr="00CE4AB6">
              <w:rPr>
                <w:i/>
                <w:color w:val="7030A0"/>
                <w:sz w:val="24"/>
                <w:szCs w:val="24"/>
              </w:rPr>
              <w:t xml:space="preserve">Tara Room, </w:t>
            </w:r>
            <w:proofErr w:type="spellStart"/>
            <w:r w:rsidRPr="00CE4AB6">
              <w:rPr>
                <w:i/>
                <w:color w:val="7030A0"/>
                <w:sz w:val="24"/>
                <w:szCs w:val="24"/>
              </w:rPr>
              <w:t>Pillo</w:t>
            </w:r>
            <w:proofErr w:type="spellEnd"/>
            <w:r w:rsidRPr="00CE4AB6">
              <w:rPr>
                <w:i/>
                <w:color w:val="7030A0"/>
                <w:sz w:val="24"/>
                <w:szCs w:val="24"/>
              </w:rPr>
              <w:t xml:space="preserve"> Hotel, </w:t>
            </w:r>
            <w:proofErr w:type="spellStart"/>
            <w:r w:rsidRPr="00CE4AB6">
              <w:rPr>
                <w:i/>
                <w:color w:val="7030A0"/>
                <w:sz w:val="24"/>
                <w:szCs w:val="24"/>
              </w:rPr>
              <w:t>Ashbourne</w:t>
            </w:r>
            <w:proofErr w:type="spellEnd"/>
          </w:p>
        </w:tc>
        <w:tc>
          <w:tcPr>
            <w:tcW w:w="3068" w:type="dxa"/>
          </w:tcPr>
          <w:p w:rsidR="001E63EC" w:rsidRPr="00CE4AB6" w:rsidRDefault="001E63EC" w:rsidP="001E63EC">
            <w:pPr>
              <w:jc w:val="center"/>
              <w:cnfStyle w:val="000000100000"/>
              <w:rPr>
                <w:i/>
                <w:color w:val="7030A0"/>
                <w:sz w:val="24"/>
                <w:szCs w:val="24"/>
              </w:rPr>
            </w:pPr>
            <w:r w:rsidRPr="00CE4AB6">
              <w:rPr>
                <w:i/>
                <w:color w:val="7030A0"/>
                <w:sz w:val="24"/>
                <w:szCs w:val="24"/>
              </w:rPr>
              <w:t>Wednesday 5</w:t>
            </w:r>
            <w:r w:rsidRPr="00CE4AB6">
              <w:rPr>
                <w:i/>
                <w:color w:val="7030A0"/>
                <w:sz w:val="24"/>
                <w:szCs w:val="24"/>
                <w:vertAlign w:val="superscript"/>
              </w:rPr>
              <w:t>th</w:t>
            </w:r>
            <w:r w:rsidRPr="00CE4AB6">
              <w:rPr>
                <w:i/>
                <w:color w:val="7030A0"/>
                <w:sz w:val="24"/>
                <w:szCs w:val="24"/>
              </w:rPr>
              <w:t xml:space="preserve"> April at 7pm</w:t>
            </w:r>
          </w:p>
          <w:p w:rsidR="001E63EC" w:rsidRPr="00CE4AB6" w:rsidRDefault="001E63EC" w:rsidP="001E63EC">
            <w:pPr>
              <w:jc w:val="center"/>
              <w:cnfStyle w:val="000000100000"/>
              <w:rPr>
                <w:i/>
                <w:color w:val="7030A0"/>
                <w:sz w:val="24"/>
                <w:szCs w:val="24"/>
              </w:rPr>
            </w:pPr>
          </w:p>
        </w:tc>
      </w:tr>
      <w:tr w:rsidR="001E63EC" w:rsidRPr="00CE4AB6" w:rsidTr="00CE4AB6">
        <w:tc>
          <w:tcPr>
            <w:cnfStyle w:val="001000000000"/>
            <w:tcW w:w="2324" w:type="dxa"/>
          </w:tcPr>
          <w:p w:rsidR="001E63EC" w:rsidRPr="00CE4AB6" w:rsidRDefault="001E63EC" w:rsidP="001E63EC">
            <w:pPr>
              <w:jc w:val="center"/>
              <w:rPr>
                <w:i/>
                <w:color w:val="7030A0"/>
                <w:sz w:val="24"/>
                <w:szCs w:val="24"/>
              </w:rPr>
            </w:pPr>
            <w:r w:rsidRPr="00CE4AB6">
              <w:rPr>
                <w:i/>
                <w:color w:val="7030A0"/>
                <w:sz w:val="24"/>
                <w:szCs w:val="24"/>
              </w:rPr>
              <w:t>Trim</w:t>
            </w:r>
          </w:p>
        </w:tc>
        <w:tc>
          <w:tcPr>
            <w:tcW w:w="3930" w:type="dxa"/>
          </w:tcPr>
          <w:p w:rsidR="001E63EC" w:rsidRPr="00CE4AB6" w:rsidRDefault="001E63EC" w:rsidP="001E63EC">
            <w:pPr>
              <w:jc w:val="center"/>
              <w:cnfStyle w:val="000000000000"/>
              <w:rPr>
                <w:i/>
                <w:color w:val="7030A0"/>
                <w:sz w:val="24"/>
                <w:szCs w:val="24"/>
              </w:rPr>
            </w:pPr>
            <w:proofErr w:type="spellStart"/>
            <w:r w:rsidRPr="00CE4AB6">
              <w:rPr>
                <w:i/>
                <w:color w:val="7030A0"/>
                <w:sz w:val="24"/>
                <w:szCs w:val="24"/>
              </w:rPr>
              <w:t>Kiltale</w:t>
            </w:r>
            <w:proofErr w:type="spellEnd"/>
            <w:r w:rsidRPr="00CE4AB6">
              <w:rPr>
                <w:i/>
                <w:color w:val="7030A0"/>
                <w:sz w:val="24"/>
                <w:szCs w:val="24"/>
              </w:rPr>
              <w:t xml:space="preserve"> Football, Hurling, </w:t>
            </w:r>
            <w:proofErr w:type="spellStart"/>
            <w:r w:rsidRPr="00CE4AB6">
              <w:rPr>
                <w:i/>
                <w:color w:val="7030A0"/>
                <w:sz w:val="24"/>
                <w:szCs w:val="24"/>
              </w:rPr>
              <w:t>Camogie</w:t>
            </w:r>
            <w:proofErr w:type="spellEnd"/>
            <w:r w:rsidRPr="00CE4AB6">
              <w:rPr>
                <w:i/>
                <w:color w:val="7030A0"/>
                <w:sz w:val="24"/>
                <w:szCs w:val="24"/>
              </w:rPr>
              <w:t xml:space="preserve"> Club</w:t>
            </w:r>
          </w:p>
        </w:tc>
        <w:tc>
          <w:tcPr>
            <w:tcW w:w="3068" w:type="dxa"/>
          </w:tcPr>
          <w:p w:rsidR="001E63EC" w:rsidRPr="00CE4AB6" w:rsidRDefault="001E63EC" w:rsidP="001E63EC">
            <w:pPr>
              <w:jc w:val="center"/>
              <w:cnfStyle w:val="000000000000"/>
              <w:rPr>
                <w:i/>
                <w:color w:val="7030A0"/>
                <w:sz w:val="24"/>
                <w:szCs w:val="24"/>
              </w:rPr>
            </w:pPr>
            <w:r w:rsidRPr="00CE4AB6">
              <w:rPr>
                <w:i/>
                <w:color w:val="7030A0"/>
                <w:sz w:val="24"/>
                <w:szCs w:val="24"/>
              </w:rPr>
              <w:t>Monday 10</w:t>
            </w:r>
            <w:r w:rsidRPr="00CE4AB6">
              <w:rPr>
                <w:i/>
                <w:color w:val="7030A0"/>
                <w:sz w:val="24"/>
                <w:szCs w:val="24"/>
                <w:vertAlign w:val="superscript"/>
              </w:rPr>
              <w:t>th</w:t>
            </w:r>
            <w:r w:rsidRPr="00CE4AB6">
              <w:rPr>
                <w:i/>
                <w:color w:val="7030A0"/>
                <w:sz w:val="24"/>
                <w:szCs w:val="24"/>
              </w:rPr>
              <w:t xml:space="preserve"> April at 8pm</w:t>
            </w:r>
          </w:p>
          <w:p w:rsidR="001E63EC" w:rsidRPr="00CE4AB6" w:rsidRDefault="001E63EC" w:rsidP="001E63EC">
            <w:pPr>
              <w:jc w:val="center"/>
              <w:cnfStyle w:val="000000000000"/>
              <w:rPr>
                <w:i/>
                <w:color w:val="7030A0"/>
                <w:sz w:val="24"/>
                <w:szCs w:val="24"/>
              </w:rPr>
            </w:pPr>
          </w:p>
        </w:tc>
      </w:tr>
      <w:tr w:rsidR="001E63EC" w:rsidRPr="00CE4AB6" w:rsidTr="00CE4AB6">
        <w:trPr>
          <w:cnfStyle w:val="000000100000"/>
        </w:trPr>
        <w:tc>
          <w:tcPr>
            <w:cnfStyle w:val="001000000000"/>
            <w:tcW w:w="2324" w:type="dxa"/>
          </w:tcPr>
          <w:p w:rsidR="001E63EC" w:rsidRPr="00CE4AB6" w:rsidRDefault="001E63EC" w:rsidP="001E63EC">
            <w:pPr>
              <w:jc w:val="center"/>
              <w:rPr>
                <w:i/>
                <w:color w:val="7030A0"/>
                <w:sz w:val="24"/>
                <w:szCs w:val="24"/>
              </w:rPr>
            </w:pPr>
            <w:r w:rsidRPr="00CE4AB6">
              <w:rPr>
                <w:i/>
                <w:color w:val="7030A0"/>
                <w:sz w:val="24"/>
                <w:szCs w:val="24"/>
              </w:rPr>
              <w:t xml:space="preserve">Kells </w:t>
            </w:r>
          </w:p>
        </w:tc>
        <w:tc>
          <w:tcPr>
            <w:tcW w:w="3930" w:type="dxa"/>
          </w:tcPr>
          <w:p w:rsidR="001E63EC" w:rsidRPr="00CE4AB6" w:rsidRDefault="001E63EC" w:rsidP="001E63EC">
            <w:pPr>
              <w:cnfStyle w:val="000000100000"/>
              <w:rPr>
                <w:i/>
                <w:color w:val="7030A0"/>
              </w:rPr>
            </w:pPr>
            <w:r w:rsidRPr="00CE4AB6">
              <w:rPr>
                <w:i/>
                <w:color w:val="7030A0"/>
              </w:rPr>
              <w:t>Kells Resource Centre, Old Carrick School, Lord Edward St. Kells</w:t>
            </w:r>
          </w:p>
        </w:tc>
        <w:tc>
          <w:tcPr>
            <w:tcW w:w="3068" w:type="dxa"/>
          </w:tcPr>
          <w:p w:rsidR="001E63EC" w:rsidRPr="00CE4AB6" w:rsidRDefault="001E63EC" w:rsidP="001E63EC">
            <w:pPr>
              <w:jc w:val="center"/>
              <w:cnfStyle w:val="000000100000"/>
              <w:rPr>
                <w:i/>
                <w:color w:val="7030A0"/>
                <w:sz w:val="24"/>
                <w:szCs w:val="24"/>
              </w:rPr>
            </w:pPr>
            <w:r w:rsidRPr="00CE4AB6">
              <w:rPr>
                <w:i/>
                <w:color w:val="7030A0"/>
                <w:sz w:val="24"/>
                <w:szCs w:val="24"/>
              </w:rPr>
              <w:t>Monday 10</w:t>
            </w:r>
            <w:r w:rsidRPr="00CE4AB6">
              <w:rPr>
                <w:i/>
                <w:color w:val="7030A0"/>
                <w:sz w:val="24"/>
                <w:szCs w:val="24"/>
                <w:vertAlign w:val="superscript"/>
              </w:rPr>
              <w:t>th</w:t>
            </w:r>
            <w:r w:rsidRPr="00CE4AB6">
              <w:rPr>
                <w:i/>
                <w:color w:val="7030A0"/>
                <w:sz w:val="24"/>
                <w:szCs w:val="24"/>
              </w:rPr>
              <w:t xml:space="preserve"> April at 8pm</w:t>
            </w:r>
          </w:p>
        </w:tc>
      </w:tr>
      <w:tr w:rsidR="001E63EC" w:rsidRPr="00CE4AB6" w:rsidTr="00CE4AB6">
        <w:tc>
          <w:tcPr>
            <w:cnfStyle w:val="001000000000"/>
            <w:tcW w:w="2324" w:type="dxa"/>
          </w:tcPr>
          <w:p w:rsidR="001E63EC" w:rsidRPr="00CE4AB6" w:rsidRDefault="001E63EC" w:rsidP="001E63EC">
            <w:pPr>
              <w:jc w:val="center"/>
              <w:rPr>
                <w:i/>
                <w:color w:val="7030A0"/>
                <w:sz w:val="24"/>
                <w:szCs w:val="24"/>
              </w:rPr>
            </w:pPr>
            <w:r w:rsidRPr="00CE4AB6">
              <w:rPr>
                <w:i/>
                <w:color w:val="7030A0"/>
                <w:sz w:val="24"/>
                <w:szCs w:val="24"/>
              </w:rPr>
              <w:t>Ratoath</w:t>
            </w:r>
          </w:p>
        </w:tc>
        <w:tc>
          <w:tcPr>
            <w:tcW w:w="3930" w:type="dxa"/>
          </w:tcPr>
          <w:p w:rsidR="001E63EC" w:rsidRPr="00CE4AB6" w:rsidRDefault="001E63EC" w:rsidP="001E63EC">
            <w:pPr>
              <w:cnfStyle w:val="000000000000"/>
              <w:rPr>
                <w:i/>
                <w:color w:val="7030A0"/>
                <w:sz w:val="24"/>
                <w:szCs w:val="24"/>
              </w:rPr>
            </w:pPr>
            <w:r w:rsidRPr="00CE4AB6">
              <w:rPr>
                <w:i/>
                <w:color w:val="7030A0"/>
                <w:sz w:val="24"/>
                <w:szCs w:val="24"/>
              </w:rPr>
              <w:t>Ratoath Community Centre, Ratoath</w:t>
            </w:r>
          </w:p>
          <w:p w:rsidR="001E63EC" w:rsidRPr="00CE4AB6" w:rsidRDefault="001E63EC" w:rsidP="001E63EC">
            <w:pPr>
              <w:cnfStyle w:val="000000000000"/>
              <w:rPr>
                <w:i/>
                <w:color w:val="7030A0"/>
              </w:rPr>
            </w:pPr>
          </w:p>
        </w:tc>
        <w:tc>
          <w:tcPr>
            <w:tcW w:w="3068" w:type="dxa"/>
          </w:tcPr>
          <w:p w:rsidR="001E63EC" w:rsidRPr="00CE4AB6" w:rsidRDefault="001E63EC" w:rsidP="001E63EC">
            <w:pPr>
              <w:jc w:val="center"/>
              <w:cnfStyle w:val="000000000000"/>
              <w:rPr>
                <w:i/>
                <w:color w:val="7030A0"/>
                <w:sz w:val="24"/>
                <w:szCs w:val="24"/>
              </w:rPr>
            </w:pPr>
            <w:r w:rsidRPr="00CE4AB6">
              <w:rPr>
                <w:i/>
                <w:color w:val="7030A0"/>
                <w:sz w:val="24"/>
                <w:szCs w:val="24"/>
              </w:rPr>
              <w:t>Tuesday 11</w:t>
            </w:r>
            <w:r w:rsidRPr="00CE4AB6">
              <w:rPr>
                <w:i/>
                <w:color w:val="7030A0"/>
                <w:sz w:val="24"/>
                <w:szCs w:val="24"/>
                <w:vertAlign w:val="superscript"/>
              </w:rPr>
              <w:t>th</w:t>
            </w:r>
            <w:r w:rsidRPr="00CE4AB6">
              <w:rPr>
                <w:i/>
                <w:color w:val="7030A0"/>
                <w:sz w:val="24"/>
                <w:szCs w:val="24"/>
              </w:rPr>
              <w:t xml:space="preserve"> April at 8pm</w:t>
            </w:r>
          </w:p>
        </w:tc>
      </w:tr>
      <w:tr w:rsidR="001E63EC" w:rsidRPr="00CE4AB6" w:rsidTr="00CE4AB6">
        <w:trPr>
          <w:cnfStyle w:val="000000100000"/>
        </w:trPr>
        <w:tc>
          <w:tcPr>
            <w:cnfStyle w:val="001000000000"/>
            <w:tcW w:w="2324" w:type="dxa"/>
          </w:tcPr>
          <w:p w:rsidR="001E63EC" w:rsidRPr="00CE4AB6" w:rsidRDefault="001E63EC" w:rsidP="001E63EC">
            <w:pPr>
              <w:jc w:val="center"/>
              <w:rPr>
                <w:i/>
                <w:color w:val="7030A0"/>
                <w:sz w:val="24"/>
                <w:szCs w:val="24"/>
              </w:rPr>
            </w:pPr>
            <w:proofErr w:type="spellStart"/>
            <w:r w:rsidRPr="00CE4AB6">
              <w:rPr>
                <w:i/>
                <w:color w:val="7030A0"/>
                <w:sz w:val="24"/>
                <w:szCs w:val="24"/>
              </w:rPr>
              <w:lastRenderedPageBreak/>
              <w:t>Navan</w:t>
            </w:r>
            <w:proofErr w:type="spellEnd"/>
          </w:p>
        </w:tc>
        <w:tc>
          <w:tcPr>
            <w:tcW w:w="3930" w:type="dxa"/>
          </w:tcPr>
          <w:p w:rsidR="001E63EC" w:rsidRPr="00CE4AB6" w:rsidRDefault="001E63EC" w:rsidP="001E63EC">
            <w:pPr>
              <w:jc w:val="center"/>
              <w:cnfStyle w:val="000000100000"/>
              <w:rPr>
                <w:i/>
                <w:color w:val="7030A0"/>
                <w:sz w:val="24"/>
                <w:szCs w:val="24"/>
              </w:rPr>
            </w:pPr>
            <w:r w:rsidRPr="00CE4AB6">
              <w:rPr>
                <w:i/>
                <w:color w:val="7030A0"/>
                <w:sz w:val="24"/>
                <w:szCs w:val="24"/>
              </w:rPr>
              <w:t xml:space="preserve">Claremont Stadium, </w:t>
            </w:r>
            <w:proofErr w:type="spellStart"/>
            <w:r w:rsidRPr="00CE4AB6">
              <w:rPr>
                <w:i/>
                <w:color w:val="7030A0"/>
                <w:sz w:val="24"/>
                <w:szCs w:val="24"/>
              </w:rPr>
              <w:t>Navan</w:t>
            </w:r>
            <w:proofErr w:type="spellEnd"/>
          </w:p>
          <w:p w:rsidR="001E63EC" w:rsidRPr="00CE4AB6" w:rsidRDefault="001E63EC" w:rsidP="001E63EC">
            <w:pPr>
              <w:jc w:val="center"/>
              <w:cnfStyle w:val="000000100000"/>
              <w:rPr>
                <w:i/>
                <w:color w:val="7030A0"/>
                <w:sz w:val="24"/>
                <w:szCs w:val="24"/>
              </w:rPr>
            </w:pPr>
          </w:p>
        </w:tc>
        <w:tc>
          <w:tcPr>
            <w:tcW w:w="3068" w:type="dxa"/>
          </w:tcPr>
          <w:p w:rsidR="001E63EC" w:rsidRPr="00CE4AB6" w:rsidRDefault="001E63EC" w:rsidP="001E63EC">
            <w:pPr>
              <w:jc w:val="center"/>
              <w:cnfStyle w:val="000000100000"/>
              <w:rPr>
                <w:i/>
                <w:color w:val="7030A0"/>
                <w:sz w:val="24"/>
                <w:szCs w:val="24"/>
              </w:rPr>
            </w:pPr>
            <w:r w:rsidRPr="00CE4AB6">
              <w:rPr>
                <w:i/>
                <w:color w:val="7030A0"/>
                <w:sz w:val="24"/>
                <w:szCs w:val="24"/>
              </w:rPr>
              <w:t>Wednesday 12</w:t>
            </w:r>
            <w:r w:rsidRPr="00CE4AB6">
              <w:rPr>
                <w:i/>
                <w:color w:val="7030A0"/>
                <w:sz w:val="24"/>
                <w:szCs w:val="24"/>
                <w:vertAlign w:val="superscript"/>
              </w:rPr>
              <w:t>th</w:t>
            </w:r>
            <w:r w:rsidRPr="00CE4AB6">
              <w:rPr>
                <w:i/>
                <w:color w:val="7030A0"/>
                <w:sz w:val="24"/>
                <w:szCs w:val="24"/>
              </w:rPr>
              <w:t xml:space="preserve"> April at 8pm</w:t>
            </w:r>
          </w:p>
        </w:tc>
      </w:tr>
      <w:tr w:rsidR="001E63EC" w:rsidRPr="00CE4AB6" w:rsidTr="00CE4AB6">
        <w:tc>
          <w:tcPr>
            <w:cnfStyle w:val="001000000000"/>
            <w:tcW w:w="2324" w:type="dxa"/>
          </w:tcPr>
          <w:p w:rsidR="001E63EC" w:rsidRPr="00CE4AB6" w:rsidRDefault="001E63EC" w:rsidP="001E63EC">
            <w:pPr>
              <w:jc w:val="center"/>
              <w:rPr>
                <w:i/>
                <w:color w:val="7030A0"/>
                <w:sz w:val="24"/>
                <w:szCs w:val="24"/>
              </w:rPr>
            </w:pPr>
            <w:proofErr w:type="spellStart"/>
            <w:r w:rsidRPr="00CE4AB6">
              <w:rPr>
                <w:i/>
                <w:color w:val="7030A0"/>
                <w:sz w:val="24"/>
                <w:szCs w:val="24"/>
              </w:rPr>
              <w:t>Laytown</w:t>
            </w:r>
            <w:proofErr w:type="spellEnd"/>
            <w:r w:rsidRPr="00CE4AB6">
              <w:rPr>
                <w:i/>
                <w:color w:val="7030A0"/>
                <w:sz w:val="24"/>
                <w:szCs w:val="24"/>
              </w:rPr>
              <w:t>/</w:t>
            </w:r>
            <w:proofErr w:type="spellStart"/>
            <w:r w:rsidRPr="00CE4AB6">
              <w:rPr>
                <w:i/>
                <w:color w:val="7030A0"/>
                <w:sz w:val="24"/>
                <w:szCs w:val="24"/>
              </w:rPr>
              <w:t>Bettystown</w:t>
            </w:r>
            <w:proofErr w:type="spellEnd"/>
          </w:p>
        </w:tc>
        <w:tc>
          <w:tcPr>
            <w:tcW w:w="3930" w:type="dxa"/>
          </w:tcPr>
          <w:p w:rsidR="001E63EC" w:rsidRPr="00CE4AB6" w:rsidRDefault="001E63EC" w:rsidP="001E63EC">
            <w:pPr>
              <w:jc w:val="center"/>
              <w:cnfStyle w:val="000000000000"/>
              <w:rPr>
                <w:i/>
                <w:color w:val="7030A0"/>
                <w:sz w:val="24"/>
                <w:szCs w:val="24"/>
              </w:rPr>
            </w:pPr>
            <w:r w:rsidRPr="00CE4AB6">
              <w:rPr>
                <w:i/>
                <w:color w:val="7030A0"/>
                <w:sz w:val="24"/>
                <w:szCs w:val="24"/>
              </w:rPr>
              <w:t xml:space="preserve">Parish Room, St. </w:t>
            </w:r>
            <w:proofErr w:type="spellStart"/>
            <w:r w:rsidRPr="00CE4AB6">
              <w:rPr>
                <w:i/>
                <w:color w:val="7030A0"/>
                <w:sz w:val="24"/>
                <w:szCs w:val="24"/>
              </w:rPr>
              <w:t>Cianan’s</w:t>
            </w:r>
            <w:proofErr w:type="spellEnd"/>
            <w:r w:rsidRPr="00CE4AB6">
              <w:rPr>
                <w:i/>
                <w:color w:val="7030A0"/>
                <w:sz w:val="24"/>
                <w:szCs w:val="24"/>
              </w:rPr>
              <w:t xml:space="preserve"> Church</w:t>
            </w:r>
          </w:p>
          <w:p w:rsidR="001E63EC" w:rsidRPr="00CE4AB6" w:rsidRDefault="001E63EC" w:rsidP="001E63EC">
            <w:pPr>
              <w:jc w:val="center"/>
              <w:cnfStyle w:val="000000000000"/>
              <w:rPr>
                <w:i/>
                <w:color w:val="7030A0"/>
                <w:sz w:val="24"/>
                <w:szCs w:val="24"/>
              </w:rPr>
            </w:pPr>
            <w:r w:rsidRPr="00CE4AB6">
              <w:rPr>
                <w:i/>
                <w:color w:val="7030A0"/>
                <w:sz w:val="24"/>
                <w:szCs w:val="24"/>
              </w:rPr>
              <w:t>Duleek</w:t>
            </w:r>
          </w:p>
        </w:tc>
        <w:tc>
          <w:tcPr>
            <w:tcW w:w="3068" w:type="dxa"/>
          </w:tcPr>
          <w:p w:rsidR="001E63EC" w:rsidRPr="00CE4AB6" w:rsidRDefault="001E63EC" w:rsidP="001E63EC">
            <w:pPr>
              <w:jc w:val="center"/>
              <w:cnfStyle w:val="000000000000"/>
              <w:rPr>
                <w:i/>
                <w:color w:val="7030A0"/>
                <w:sz w:val="24"/>
                <w:szCs w:val="24"/>
              </w:rPr>
            </w:pPr>
            <w:r w:rsidRPr="00CE4AB6">
              <w:rPr>
                <w:i/>
                <w:color w:val="7030A0"/>
                <w:sz w:val="24"/>
                <w:szCs w:val="24"/>
              </w:rPr>
              <w:t>Wednesday 12</w:t>
            </w:r>
            <w:r w:rsidRPr="00CE4AB6">
              <w:rPr>
                <w:i/>
                <w:color w:val="7030A0"/>
                <w:sz w:val="24"/>
                <w:szCs w:val="24"/>
                <w:vertAlign w:val="superscript"/>
              </w:rPr>
              <w:t>th</w:t>
            </w:r>
            <w:r w:rsidRPr="00CE4AB6">
              <w:rPr>
                <w:i/>
                <w:color w:val="7030A0"/>
                <w:sz w:val="24"/>
                <w:szCs w:val="24"/>
              </w:rPr>
              <w:t xml:space="preserve"> April at 8pm</w:t>
            </w:r>
          </w:p>
        </w:tc>
      </w:tr>
    </w:tbl>
    <w:p w:rsidR="001D49CA" w:rsidRDefault="001D49CA" w:rsidP="00CE4AB6">
      <w:pPr>
        <w:spacing w:after="0" w:line="240" w:lineRule="auto"/>
        <w:rPr>
          <w:b/>
          <w:sz w:val="24"/>
          <w:szCs w:val="24"/>
        </w:rPr>
      </w:pPr>
    </w:p>
    <w:p w:rsidR="001D49CA" w:rsidRPr="00DA2BF4" w:rsidRDefault="00CE4AB6" w:rsidP="00CE4AB6">
      <w:pPr>
        <w:spacing w:after="0" w:line="240" w:lineRule="auto"/>
        <w:rPr>
          <w:b/>
          <w:sz w:val="24"/>
          <w:szCs w:val="24"/>
        </w:rPr>
      </w:pPr>
      <w:r w:rsidRPr="00DA2BF4">
        <w:rPr>
          <w:b/>
          <w:sz w:val="24"/>
          <w:szCs w:val="24"/>
        </w:rPr>
        <w:t>The meetings will be an opportunity to:</w:t>
      </w:r>
    </w:p>
    <w:p w:rsidR="00CE4AB6" w:rsidRPr="00CE4AB6" w:rsidRDefault="00CE4AB6" w:rsidP="00CE4AB6">
      <w:pPr>
        <w:pStyle w:val="ListParagraph"/>
        <w:numPr>
          <w:ilvl w:val="0"/>
          <w:numId w:val="3"/>
        </w:numPr>
        <w:spacing w:after="0" w:line="240" w:lineRule="auto"/>
        <w:contextualSpacing w:val="0"/>
        <w:jc w:val="center"/>
        <w:rPr>
          <w:color w:val="7030A0"/>
        </w:rPr>
      </w:pPr>
      <w:r w:rsidRPr="00174BA5">
        <w:rPr>
          <w:color w:val="7030A0"/>
        </w:rPr>
        <w:t>share information on your group</w:t>
      </w:r>
    </w:p>
    <w:p w:rsidR="00CE4AB6" w:rsidRPr="00174BA5" w:rsidRDefault="00CE4AB6" w:rsidP="00CE4AB6">
      <w:pPr>
        <w:pStyle w:val="ListParagraph"/>
        <w:numPr>
          <w:ilvl w:val="0"/>
          <w:numId w:val="3"/>
        </w:numPr>
        <w:spacing w:after="0" w:line="240" w:lineRule="auto"/>
        <w:contextualSpacing w:val="0"/>
        <w:jc w:val="center"/>
        <w:rPr>
          <w:color w:val="7030A0"/>
        </w:rPr>
      </w:pPr>
      <w:r>
        <w:rPr>
          <w:color w:val="7030A0"/>
        </w:rPr>
        <w:t>meet other groups in your area</w:t>
      </w:r>
    </w:p>
    <w:p w:rsidR="00CE4AB6" w:rsidRPr="00174BA5" w:rsidRDefault="00CE4AB6" w:rsidP="00CE4AB6">
      <w:pPr>
        <w:pStyle w:val="ListParagraph"/>
        <w:numPr>
          <w:ilvl w:val="0"/>
          <w:numId w:val="3"/>
        </w:numPr>
        <w:spacing w:after="0" w:line="240" w:lineRule="auto"/>
        <w:contextualSpacing w:val="0"/>
        <w:jc w:val="center"/>
        <w:rPr>
          <w:color w:val="7030A0"/>
        </w:rPr>
      </w:pPr>
      <w:r w:rsidRPr="00174BA5">
        <w:rPr>
          <w:color w:val="7030A0"/>
        </w:rPr>
        <w:t>discuss opportunities to share resources</w:t>
      </w:r>
      <w:r>
        <w:rPr>
          <w:color w:val="7030A0"/>
        </w:rPr>
        <w:t xml:space="preserve"> with other groups</w:t>
      </w:r>
    </w:p>
    <w:p w:rsidR="00CE4AB6" w:rsidRPr="00174BA5" w:rsidRDefault="00CE4AB6" w:rsidP="00CE4AB6">
      <w:pPr>
        <w:pStyle w:val="ListParagraph"/>
        <w:numPr>
          <w:ilvl w:val="0"/>
          <w:numId w:val="3"/>
        </w:numPr>
        <w:spacing w:after="0" w:line="240" w:lineRule="auto"/>
        <w:contextualSpacing w:val="0"/>
        <w:jc w:val="center"/>
        <w:rPr>
          <w:color w:val="7030A0"/>
        </w:rPr>
      </w:pPr>
      <w:r w:rsidRPr="00174BA5">
        <w:rPr>
          <w:color w:val="7030A0"/>
        </w:rPr>
        <w:t>get an update on the Public Participation Network activities</w:t>
      </w:r>
    </w:p>
    <w:p w:rsidR="00CE4AB6" w:rsidRPr="00174BA5" w:rsidRDefault="00CE4AB6" w:rsidP="00CE4AB6">
      <w:pPr>
        <w:pStyle w:val="ListParagraph"/>
        <w:numPr>
          <w:ilvl w:val="0"/>
          <w:numId w:val="3"/>
        </w:numPr>
        <w:spacing w:after="0" w:line="240" w:lineRule="auto"/>
        <w:contextualSpacing w:val="0"/>
        <w:jc w:val="center"/>
        <w:rPr>
          <w:color w:val="7030A0"/>
        </w:rPr>
      </w:pPr>
      <w:r w:rsidRPr="00174BA5">
        <w:rPr>
          <w:color w:val="7030A0"/>
        </w:rPr>
        <w:t>raise issues that the Public Participation Network should focus on</w:t>
      </w:r>
    </w:p>
    <w:p w:rsidR="00CE4AB6" w:rsidRDefault="00CE4AB6" w:rsidP="00CE4AB6">
      <w:pPr>
        <w:pStyle w:val="ListParagraph"/>
        <w:numPr>
          <w:ilvl w:val="0"/>
          <w:numId w:val="3"/>
        </w:numPr>
        <w:spacing w:after="0" w:line="240" w:lineRule="auto"/>
        <w:contextualSpacing w:val="0"/>
        <w:jc w:val="center"/>
        <w:rPr>
          <w:color w:val="7030A0"/>
        </w:rPr>
      </w:pPr>
      <w:r w:rsidRPr="00174BA5">
        <w:rPr>
          <w:color w:val="7030A0"/>
        </w:rPr>
        <w:t>get information on becoming more involved in the decision making process within Meath</w:t>
      </w:r>
    </w:p>
    <w:p w:rsidR="001E63EC" w:rsidRPr="00EF0F9B" w:rsidRDefault="001E63EC" w:rsidP="002243FD">
      <w:pPr>
        <w:pStyle w:val="NormalWeb"/>
        <w:rPr>
          <w:rFonts w:asciiTheme="minorHAnsi" w:hAnsiTheme="minorHAnsi"/>
          <w:b/>
          <w:sz w:val="28"/>
          <w:szCs w:val="28"/>
        </w:rPr>
      </w:pPr>
      <w:r w:rsidRPr="00EF0F9B">
        <w:rPr>
          <w:rFonts w:asciiTheme="minorHAnsi" w:hAnsiTheme="minorHAnsi"/>
          <w:b/>
          <w:sz w:val="28"/>
          <w:szCs w:val="28"/>
        </w:rPr>
        <w:t>Plenary Meeting</w:t>
      </w:r>
    </w:p>
    <w:p w:rsidR="001E63EC" w:rsidRPr="002243FD" w:rsidRDefault="00884A80" w:rsidP="002243FD">
      <w:pPr>
        <w:pStyle w:val="NormalWeb"/>
        <w:rPr>
          <w:rFonts w:asciiTheme="minorHAnsi" w:hAnsiTheme="minorHAnsi"/>
          <w:b/>
        </w:rPr>
      </w:pPr>
      <w:r>
        <w:rPr>
          <w:rFonts w:asciiTheme="minorHAnsi" w:hAnsiTheme="minorHAnsi"/>
          <w:b/>
        </w:rPr>
        <w:t>The plenary meeting will take place on Wednesday 24</w:t>
      </w:r>
      <w:r w:rsidRPr="00884A80">
        <w:rPr>
          <w:rFonts w:asciiTheme="minorHAnsi" w:hAnsiTheme="minorHAnsi"/>
          <w:b/>
          <w:vertAlign w:val="superscript"/>
        </w:rPr>
        <w:t>th</w:t>
      </w:r>
      <w:r>
        <w:rPr>
          <w:rFonts w:asciiTheme="minorHAnsi" w:hAnsiTheme="minorHAnsi"/>
          <w:b/>
        </w:rPr>
        <w:t xml:space="preserve"> May in the Knightsbrook Hotel, Trim, with registration from 7pm and start time 7.30pm. The plenary is a meeting of all the PPN registered groups and it is also the decision making bod</w:t>
      </w:r>
      <w:r w:rsidR="00EF0F9B">
        <w:rPr>
          <w:rFonts w:asciiTheme="minorHAnsi" w:hAnsiTheme="minorHAnsi"/>
          <w:b/>
        </w:rPr>
        <w:t>y for the PPN. The plenary meets</w:t>
      </w:r>
      <w:r>
        <w:rPr>
          <w:rFonts w:asciiTheme="minorHAnsi" w:hAnsiTheme="minorHAnsi"/>
          <w:b/>
        </w:rPr>
        <w:t xml:space="preserve"> twice a year so make sure your group is represented.</w:t>
      </w:r>
    </w:p>
    <w:p w:rsidR="00F63839" w:rsidRPr="00306692" w:rsidRDefault="00EF0F9B" w:rsidP="00884A80">
      <w:pPr>
        <w:pStyle w:val="NormalWeb"/>
        <w:rPr>
          <w:rFonts w:asciiTheme="minorHAnsi" w:hAnsiTheme="minorHAnsi"/>
          <w:b/>
          <w:color w:val="00B050"/>
          <w:sz w:val="28"/>
          <w:szCs w:val="28"/>
        </w:rPr>
      </w:pPr>
      <w:r>
        <w:rPr>
          <w:rFonts w:asciiTheme="minorHAnsi" w:hAnsiTheme="minorHAnsi"/>
          <w:b/>
          <w:color w:val="00B050"/>
          <w:sz w:val="28"/>
          <w:szCs w:val="28"/>
        </w:rPr>
        <w:t>Update on:</w:t>
      </w:r>
    </w:p>
    <w:p w:rsidR="00884A80" w:rsidRDefault="0001050E" w:rsidP="00884A80">
      <w:pPr>
        <w:pStyle w:val="NormalWeb"/>
        <w:rPr>
          <w:rFonts w:asciiTheme="minorHAnsi" w:hAnsiTheme="minorHAnsi"/>
          <w:b/>
        </w:rPr>
      </w:pPr>
      <w:r>
        <w:rPr>
          <w:rFonts w:asciiTheme="minorHAnsi" w:hAnsiTheme="minorHAnsi"/>
          <w:b/>
        </w:rPr>
        <w:t xml:space="preserve">Waste Survey </w:t>
      </w:r>
      <w:r w:rsidR="001F0BEA">
        <w:rPr>
          <w:rFonts w:asciiTheme="minorHAnsi" w:hAnsiTheme="minorHAnsi"/>
          <w:b/>
        </w:rPr>
        <w:t>–</w:t>
      </w:r>
      <w:r>
        <w:rPr>
          <w:rFonts w:asciiTheme="minorHAnsi" w:hAnsiTheme="minorHAnsi"/>
          <w:b/>
        </w:rPr>
        <w:t xml:space="preserve"> </w:t>
      </w:r>
      <w:r w:rsidR="001F0BEA">
        <w:rPr>
          <w:rFonts w:asciiTheme="minorHAnsi" w:hAnsiTheme="minorHAnsi"/>
          <w:b/>
        </w:rPr>
        <w:t xml:space="preserve">Over 200 groups around Meath responded </w:t>
      </w:r>
      <w:r w:rsidR="00CE4AB6">
        <w:rPr>
          <w:rFonts w:asciiTheme="minorHAnsi" w:hAnsiTheme="minorHAnsi"/>
          <w:b/>
        </w:rPr>
        <w:t>to the survey. A presentation on the findings will be given</w:t>
      </w:r>
      <w:r w:rsidR="001F0BEA">
        <w:rPr>
          <w:rFonts w:asciiTheme="minorHAnsi" w:hAnsiTheme="minorHAnsi"/>
          <w:b/>
        </w:rPr>
        <w:t xml:space="preserve"> at the plenary.</w:t>
      </w:r>
    </w:p>
    <w:p w:rsidR="001F0BEA" w:rsidRPr="00884A80" w:rsidRDefault="001F0BEA" w:rsidP="00884A80">
      <w:pPr>
        <w:pStyle w:val="NormalWeb"/>
        <w:rPr>
          <w:rFonts w:asciiTheme="minorHAnsi" w:hAnsiTheme="minorHAnsi"/>
          <w:b/>
        </w:rPr>
      </w:pPr>
      <w:r>
        <w:rPr>
          <w:rFonts w:asciiTheme="minorHAnsi" w:hAnsiTheme="minorHAnsi"/>
          <w:b/>
        </w:rPr>
        <w:t>Defibrillators – Criteria for application will be circulated to members before the plenary and application forms will be available on the night for groups.</w:t>
      </w:r>
    </w:p>
    <w:p w:rsidR="00F63839" w:rsidRPr="00306692" w:rsidRDefault="001F0BEA" w:rsidP="00110946">
      <w:pPr>
        <w:pStyle w:val="NormalWeb"/>
        <w:rPr>
          <w:rFonts w:asciiTheme="minorHAnsi" w:hAnsiTheme="minorHAnsi"/>
          <w:b/>
          <w:color w:val="00B050"/>
          <w:sz w:val="28"/>
          <w:szCs w:val="28"/>
          <w:lang w:val="en-US"/>
        </w:rPr>
      </w:pPr>
      <w:r w:rsidRPr="00306692">
        <w:rPr>
          <w:rFonts w:asciiTheme="minorHAnsi" w:hAnsiTheme="minorHAnsi"/>
          <w:b/>
          <w:color w:val="00B050"/>
          <w:sz w:val="28"/>
          <w:szCs w:val="28"/>
          <w:lang w:val="en-US"/>
        </w:rPr>
        <w:t>Information item on the PPN</w:t>
      </w:r>
      <w:r w:rsidR="009858D8">
        <w:rPr>
          <w:rFonts w:asciiTheme="minorHAnsi" w:hAnsiTheme="minorHAnsi"/>
          <w:b/>
          <w:color w:val="00B050"/>
          <w:sz w:val="28"/>
          <w:szCs w:val="28"/>
          <w:lang w:val="en-US"/>
        </w:rPr>
        <w:t>:</w:t>
      </w:r>
    </w:p>
    <w:p w:rsidR="00CE4AB6" w:rsidRDefault="001F0BEA" w:rsidP="001F0BEA">
      <w:pPr>
        <w:rPr>
          <w:sz w:val="24"/>
          <w:szCs w:val="24"/>
        </w:rPr>
      </w:pPr>
      <w:r>
        <w:rPr>
          <w:sz w:val="24"/>
          <w:szCs w:val="24"/>
        </w:rPr>
        <w:t xml:space="preserve">The Public Participation Network was set up in 2014 to be the main point of contact between the local authority and the community and environmental voluntary led groups around the country. Each local authority has a PPN and groups are requested to register to become part of the PPN. </w:t>
      </w:r>
    </w:p>
    <w:p w:rsidR="00DA2BF4" w:rsidRPr="00DA2BF4" w:rsidRDefault="00DA2BF4" w:rsidP="001F0BEA">
      <w:pPr>
        <w:rPr>
          <w:b/>
          <w:sz w:val="24"/>
          <w:szCs w:val="24"/>
        </w:rPr>
      </w:pPr>
      <w:r w:rsidRPr="00DA2BF4">
        <w:rPr>
          <w:b/>
          <w:sz w:val="24"/>
          <w:szCs w:val="24"/>
        </w:rPr>
        <w:t>Role</w:t>
      </w:r>
      <w:r>
        <w:rPr>
          <w:b/>
          <w:sz w:val="24"/>
          <w:szCs w:val="24"/>
        </w:rPr>
        <w:t>s</w:t>
      </w:r>
      <w:r w:rsidRPr="00DA2BF4">
        <w:rPr>
          <w:b/>
          <w:sz w:val="24"/>
          <w:szCs w:val="24"/>
        </w:rPr>
        <w:t xml:space="preserve"> of the PPN</w:t>
      </w:r>
    </w:p>
    <w:p w:rsidR="00306692" w:rsidRDefault="00306692" w:rsidP="00306692">
      <w:pPr>
        <w:pStyle w:val="ListParagraph"/>
        <w:numPr>
          <w:ilvl w:val="0"/>
          <w:numId w:val="2"/>
        </w:numPr>
        <w:rPr>
          <w:sz w:val="24"/>
          <w:szCs w:val="24"/>
        </w:rPr>
      </w:pPr>
      <w:r w:rsidRPr="00B25486">
        <w:rPr>
          <w:b/>
          <w:sz w:val="24"/>
          <w:szCs w:val="24"/>
        </w:rPr>
        <w:t>Information sharing</w:t>
      </w:r>
      <w:r>
        <w:rPr>
          <w:sz w:val="24"/>
          <w:szCs w:val="24"/>
        </w:rPr>
        <w:t xml:space="preserve"> – Regular updates are sent to members on grants, public consultations etc. Members are also in</w:t>
      </w:r>
      <w:r w:rsidR="00F66343">
        <w:rPr>
          <w:sz w:val="24"/>
          <w:szCs w:val="24"/>
        </w:rPr>
        <w:t xml:space="preserve">vited to share information through our website </w:t>
      </w:r>
      <w:hyperlink r:id="rId15" w:history="1">
        <w:r w:rsidR="00F66343" w:rsidRPr="0043420B">
          <w:rPr>
            <w:rStyle w:val="Hyperlink"/>
            <w:sz w:val="24"/>
            <w:szCs w:val="24"/>
          </w:rPr>
          <w:t>www.meathppn.ie</w:t>
        </w:r>
      </w:hyperlink>
      <w:r w:rsidR="00F66343">
        <w:rPr>
          <w:sz w:val="24"/>
          <w:szCs w:val="24"/>
        </w:rPr>
        <w:t xml:space="preserve"> on events that their group are having.</w:t>
      </w:r>
    </w:p>
    <w:p w:rsidR="00306692" w:rsidRPr="00306692" w:rsidRDefault="00306692" w:rsidP="00306692">
      <w:pPr>
        <w:pStyle w:val="ListParagraph"/>
        <w:numPr>
          <w:ilvl w:val="0"/>
          <w:numId w:val="2"/>
        </w:numPr>
        <w:rPr>
          <w:sz w:val="24"/>
          <w:szCs w:val="24"/>
        </w:rPr>
      </w:pPr>
      <w:r w:rsidRPr="00B25486">
        <w:rPr>
          <w:b/>
          <w:sz w:val="24"/>
          <w:szCs w:val="24"/>
        </w:rPr>
        <w:t>Representation</w:t>
      </w:r>
      <w:r w:rsidR="00F66343">
        <w:rPr>
          <w:sz w:val="24"/>
          <w:szCs w:val="24"/>
        </w:rPr>
        <w:t xml:space="preserve"> – There are currently PPN representatives on a number of committees in Meath to include the Local Community Development Committee (LCDC), 4 Strategic Policy Committees (SPC), Joint Policing Committee (JPC), Leader Independent Evaluation Committee and the Board of Meath Partnership. For more information check out our website  </w:t>
      </w:r>
      <w:hyperlink r:id="rId16" w:history="1">
        <w:r w:rsidR="00F66343" w:rsidRPr="0043420B">
          <w:rPr>
            <w:rStyle w:val="Hyperlink"/>
            <w:sz w:val="24"/>
            <w:szCs w:val="24"/>
          </w:rPr>
          <w:t>www.meathppn.ie</w:t>
        </w:r>
      </w:hyperlink>
    </w:p>
    <w:p w:rsidR="001F0BEA" w:rsidRPr="00EF0F9B" w:rsidRDefault="00306692" w:rsidP="00EF0F9B">
      <w:pPr>
        <w:pStyle w:val="ListParagraph"/>
        <w:numPr>
          <w:ilvl w:val="0"/>
          <w:numId w:val="2"/>
        </w:numPr>
        <w:rPr>
          <w:sz w:val="24"/>
          <w:szCs w:val="24"/>
        </w:rPr>
      </w:pPr>
      <w:r w:rsidRPr="00B25486">
        <w:rPr>
          <w:b/>
          <w:sz w:val="24"/>
          <w:szCs w:val="24"/>
        </w:rPr>
        <w:t>Capa</w:t>
      </w:r>
      <w:r w:rsidR="00DA2BF4" w:rsidRPr="00B25486">
        <w:rPr>
          <w:b/>
          <w:sz w:val="24"/>
          <w:szCs w:val="24"/>
        </w:rPr>
        <w:t>city building</w:t>
      </w:r>
      <w:r w:rsidR="00DA2BF4">
        <w:rPr>
          <w:sz w:val="24"/>
          <w:szCs w:val="24"/>
        </w:rPr>
        <w:t xml:space="preserve"> – Training and networking opportunities for members</w:t>
      </w:r>
      <w:r w:rsidR="00B25486">
        <w:rPr>
          <w:sz w:val="24"/>
          <w:szCs w:val="24"/>
        </w:rPr>
        <w:t>.</w:t>
      </w:r>
    </w:p>
    <w:sectPr w:rsidR="001F0BEA" w:rsidRPr="00EF0F9B" w:rsidSect="000E6B7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49D" w:rsidRDefault="0039549D" w:rsidP="00DA2BF4">
      <w:pPr>
        <w:spacing w:after="0" w:line="240" w:lineRule="auto"/>
      </w:pPr>
      <w:r>
        <w:separator/>
      </w:r>
    </w:p>
  </w:endnote>
  <w:endnote w:type="continuationSeparator" w:id="0">
    <w:p w:rsidR="0039549D" w:rsidRDefault="0039549D" w:rsidP="00DA2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9D" w:rsidRDefault="003954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9D" w:rsidRDefault="003954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9D" w:rsidRDefault="003954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49D" w:rsidRDefault="0039549D" w:rsidP="00DA2BF4">
      <w:pPr>
        <w:spacing w:after="0" w:line="240" w:lineRule="auto"/>
      </w:pPr>
      <w:r>
        <w:separator/>
      </w:r>
    </w:p>
  </w:footnote>
  <w:footnote w:type="continuationSeparator" w:id="0">
    <w:p w:rsidR="0039549D" w:rsidRDefault="0039549D" w:rsidP="00DA2B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9D" w:rsidRDefault="003954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9D" w:rsidRDefault="003954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9D" w:rsidRDefault="003954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228A"/>
      </v:shape>
    </w:pict>
  </w:numPicBullet>
  <w:abstractNum w:abstractNumId="0">
    <w:nsid w:val="07853A21"/>
    <w:multiLevelType w:val="hybridMultilevel"/>
    <w:tmpl w:val="C7269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53332D6"/>
    <w:multiLevelType w:val="hybridMultilevel"/>
    <w:tmpl w:val="F3F81096"/>
    <w:lvl w:ilvl="0" w:tplc="18090007">
      <w:start w:val="1"/>
      <w:numFmt w:val="bullet"/>
      <w:lvlText w:val=""/>
      <w:lvlPicBulletId w:val="0"/>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685710B4"/>
    <w:multiLevelType w:val="hybridMultilevel"/>
    <w:tmpl w:val="17C4F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rsids>
    <w:rsidRoot w:val="00D354D8"/>
    <w:rsid w:val="0001050E"/>
    <w:rsid w:val="000E6B75"/>
    <w:rsid w:val="00110946"/>
    <w:rsid w:val="00120DE6"/>
    <w:rsid w:val="00173E7A"/>
    <w:rsid w:val="001B5DF1"/>
    <w:rsid w:val="001D49CA"/>
    <w:rsid w:val="001E63EC"/>
    <w:rsid w:val="001F0BEA"/>
    <w:rsid w:val="001F179A"/>
    <w:rsid w:val="002243FD"/>
    <w:rsid w:val="002571AC"/>
    <w:rsid w:val="002960D1"/>
    <w:rsid w:val="002B16D0"/>
    <w:rsid w:val="00306692"/>
    <w:rsid w:val="003354BA"/>
    <w:rsid w:val="0039549D"/>
    <w:rsid w:val="003F4AC6"/>
    <w:rsid w:val="004236B6"/>
    <w:rsid w:val="004E4A91"/>
    <w:rsid w:val="005458F1"/>
    <w:rsid w:val="00560915"/>
    <w:rsid w:val="005C39CC"/>
    <w:rsid w:val="006751F0"/>
    <w:rsid w:val="00701BEC"/>
    <w:rsid w:val="007C62AA"/>
    <w:rsid w:val="00884A80"/>
    <w:rsid w:val="00926C5E"/>
    <w:rsid w:val="009659ED"/>
    <w:rsid w:val="009843E9"/>
    <w:rsid w:val="00985806"/>
    <w:rsid w:val="009858D8"/>
    <w:rsid w:val="009A2AE7"/>
    <w:rsid w:val="009D1664"/>
    <w:rsid w:val="00A4756D"/>
    <w:rsid w:val="00A6700E"/>
    <w:rsid w:val="00B25486"/>
    <w:rsid w:val="00B72187"/>
    <w:rsid w:val="00B97415"/>
    <w:rsid w:val="00BE742D"/>
    <w:rsid w:val="00C256A4"/>
    <w:rsid w:val="00CE4AB6"/>
    <w:rsid w:val="00D354D8"/>
    <w:rsid w:val="00D75A5F"/>
    <w:rsid w:val="00DA059D"/>
    <w:rsid w:val="00DA2BF4"/>
    <w:rsid w:val="00DD5C27"/>
    <w:rsid w:val="00EF0F9B"/>
    <w:rsid w:val="00F01212"/>
    <w:rsid w:val="00F25352"/>
    <w:rsid w:val="00F63839"/>
    <w:rsid w:val="00F66343"/>
    <w:rsid w:val="00F73D48"/>
    <w:rsid w:val="00FC634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C256A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560915"/>
    <w:rPr>
      <w:color w:val="0000FF" w:themeColor="hyperlink"/>
      <w:u w:val="single"/>
    </w:rPr>
  </w:style>
  <w:style w:type="paragraph" w:styleId="ListParagraph">
    <w:name w:val="List Paragraph"/>
    <w:basedOn w:val="Normal"/>
    <w:uiPriority w:val="34"/>
    <w:qFormat/>
    <w:rsid w:val="00F73D48"/>
    <w:pPr>
      <w:ind w:left="720"/>
      <w:contextualSpacing/>
    </w:pPr>
  </w:style>
  <w:style w:type="paragraph" w:styleId="NormalWeb">
    <w:name w:val="Normal (Web)"/>
    <w:basedOn w:val="Normal"/>
    <w:uiPriority w:val="99"/>
    <w:unhideWhenUsed/>
    <w:rsid w:val="00F73D4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701BEC"/>
    <w:rPr>
      <w:color w:val="800080" w:themeColor="followedHyperlink"/>
      <w:u w:val="single"/>
    </w:rPr>
  </w:style>
  <w:style w:type="paragraph" w:styleId="BalloonText">
    <w:name w:val="Balloon Text"/>
    <w:basedOn w:val="Normal"/>
    <w:link w:val="BalloonTextChar"/>
    <w:uiPriority w:val="99"/>
    <w:semiHidden/>
    <w:unhideWhenUsed/>
    <w:rsid w:val="001F0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EA"/>
    <w:rPr>
      <w:rFonts w:ascii="Tahoma" w:hAnsi="Tahoma" w:cs="Tahoma"/>
      <w:sz w:val="16"/>
      <w:szCs w:val="16"/>
    </w:rPr>
  </w:style>
  <w:style w:type="paragraph" w:styleId="Header">
    <w:name w:val="header"/>
    <w:basedOn w:val="Normal"/>
    <w:link w:val="HeaderChar"/>
    <w:uiPriority w:val="99"/>
    <w:semiHidden/>
    <w:unhideWhenUsed/>
    <w:rsid w:val="00DA2B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2BF4"/>
  </w:style>
  <w:style w:type="paragraph" w:styleId="Footer">
    <w:name w:val="footer"/>
    <w:basedOn w:val="Normal"/>
    <w:link w:val="FooterChar"/>
    <w:uiPriority w:val="99"/>
    <w:semiHidden/>
    <w:unhideWhenUsed/>
    <w:rsid w:val="00DA2B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2BF4"/>
  </w:style>
</w:styles>
</file>

<file path=word/webSettings.xml><?xml version="1.0" encoding="utf-8"?>
<w:webSettings xmlns:r="http://schemas.openxmlformats.org/officeDocument/2006/relationships" xmlns:w="http://schemas.openxmlformats.org/wordprocessingml/2006/main">
  <w:divs>
    <w:div w:id="485782241">
      <w:bodyDiv w:val="1"/>
      <w:marLeft w:val="150"/>
      <w:marRight w:val="150"/>
      <w:marTop w:val="135"/>
      <w:marBottom w:val="135"/>
      <w:divBdr>
        <w:top w:val="none" w:sz="0" w:space="0" w:color="auto"/>
        <w:left w:val="none" w:sz="0" w:space="0" w:color="auto"/>
        <w:bottom w:val="none" w:sz="0" w:space="0" w:color="auto"/>
        <w:right w:val="none" w:sz="0" w:space="0" w:color="auto"/>
      </w:divBdr>
    </w:div>
    <w:div w:id="575821084">
      <w:bodyDiv w:val="1"/>
      <w:marLeft w:val="150"/>
      <w:marRight w:val="150"/>
      <w:marTop w:val="135"/>
      <w:marBottom w:val="135"/>
      <w:divBdr>
        <w:top w:val="none" w:sz="0" w:space="0" w:color="auto"/>
        <w:left w:val="none" w:sz="0" w:space="0" w:color="auto"/>
        <w:bottom w:val="none" w:sz="0" w:space="0" w:color="auto"/>
        <w:right w:val="none" w:sz="0" w:space="0" w:color="auto"/>
      </w:divBdr>
    </w:div>
    <w:div w:id="642544171">
      <w:bodyDiv w:val="1"/>
      <w:marLeft w:val="150"/>
      <w:marRight w:val="150"/>
      <w:marTop w:val="135"/>
      <w:marBottom w:val="135"/>
      <w:divBdr>
        <w:top w:val="none" w:sz="0" w:space="0" w:color="auto"/>
        <w:left w:val="none" w:sz="0" w:space="0" w:color="auto"/>
        <w:bottom w:val="none" w:sz="0" w:space="0" w:color="auto"/>
        <w:right w:val="none" w:sz="0" w:space="0" w:color="auto"/>
      </w:divBdr>
    </w:div>
    <w:div w:id="1674918533">
      <w:bodyDiv w:val="1"/>
      <w:marLeft w:val="150"/>
      <w:marRight w:val="150"/>
      <w:marTop w:val="135"/>
      <w:marBottom w:val="135"/>
      <w:divBdr>
        <w:top w:val="none" w:sz="0" w:space="0" w:color="auto"/>
        <w:left w:val="none" w:sz="0" w:space="0" w:color="auto"/>
        <w:bottom w:val="none" w:sz="0" w:space="0" w:color="auto"/>
        <w:right w:val="none" w:sz="0" w:space="0" w:color="auto"/>
      </w:divBdr>
    </w:div>
    <w:div w:id="2115785564">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eathppn.ie/wp-content/uploads/2017/04/Community-Heritage-Grant-Scheme-Form-2017-Guidelines.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eathppn.ie/wp-content/uploads/2017/03/CFS-application-form1-2017.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athppn.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hppn.ie/wp-content/uploads/2017/03/CFS-application-guidelines1-2017.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athppn.ie" TargetMode="External"/><Relationship Id="rId23" Type="http://schemas.openxmlformats.org/officeDocument/2006/relationships/fontTable" Target="fontTable.xml"/><Relationship Id="rId10" Type="http://schemas.openxmlformats.org/officeDocument/2006/relationships/hyperlink" Target="http://www.meathppn.ie/wp-content/uploads/2017/04/Fundingpoint-Local-Access-Meath-County-Council-Apr-May-2017.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a03e9dce-2294-47dd-b01c-1423f3f0781e@laservices.ie" TargetMode="External"/><Relationship Id="rId14" Type="http://schemas.openxmlformats.org/officeDocument/2006/relationships/hyperlink" Target="http://www.meathppn.ie/wp-content/uploads/2017/04/Community-Heritage-Grant-Scheme-Form-2017-Application-Form-Final-2.docx"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685C7-11D1-4CD7-8D64-1C13CA83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cp:lastPrinted>2017-04-04T08:20:00Z</cp:lastPrinted>
  <dcterms:created xsi:type="dcterms:W3CDTF">2017-04-04T08:54:00Z</dcterms:created>
  <dcterms:modified xsi:type="dcterms:W3CDTF">2017-04-04T08:57:00Z</dcterms:modified>
</cp:coreProperties>
</file>