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1" w:rsidRDefault="005514DC">
      <w:r>
        <w:t>Controllers Processing Activity Log</w:t>
      </w:r>
    </w:p>
    <w:p w:rsidR="005514DC" w:rsidRPr="005514DC" w:rsidRDefault="005514DC" w:rsidP="005514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14DC">
        <w:rPr>
          <w:rFonts w:asciiTheme="majorHAnsi" w:hAnsiTheme="majorHAnsi"/>
        </w:rPr>
        <w:t>the name and conta</w:t>
      </w:r>
      <w:r>
        <w:rPr>
          <w:rFonts w:asciiTheme="majorHAnsi" w:hAnsiTheme="majorHAnsi"/>
        </w:rPr>
        <w:t>ct details of the controller</w:t>
      </w:r>
      <w:r w:rsidRPr="005514DC">
        <w:rPr>
          <w:rFonts w:asciiTheme="majorHAnsi" w:hAnsiTheme="majorHAnsi"/>
        </w:rPr>
        <w:t xml:space="preserve"> </w:t>
      </w:r>
    </w:p>
    <w:p w:rsidR="005514DC" w:rsidRDefault="005514DC" w:rsidP="005514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and contract details of </w:t>
      </w:r>
      <w:r w:rsidRPr="005514DC">
        <w:rPr>
          <w:rFonts w:asciiTheme="majorHAnsi" w:hAnsiTheme="majorHAnsi"/>
        </w:rPr>
        <w:t xml:space="preserve">any joint controller, </w:t>
      </w:r>
    </w:p>
    <w:p w:rsidR="005514DC" w:rsidRDefault="005514DC" w:rsidP="005514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14D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details of the </w:t>
      </w:r>
      <w:r w:rsidRPr="005514DC">
        <w:rPr>
          <w:rFonts w:asciiTheme="majorHAnsi" w:hAnsiTheme="majorHAnsi"/>
        </w:rPr>
        <w:t xml:space="preserve">controller's </w:t>
      </w:r>
      <w:r>
        <w:rPr>
          <w:rFonts w:asciiTheme="majorHAnsi" w:hAnsiTheme="majorHAnsi"/>
        </w:rPr>
        <w:t xml:space="preserve">nominated </w:t>
      </w:r>
      <w:r w:rsidRPr="005514DC">
        <w:rPr>
          <w:rFonts w:asciiTheme="majorHAnsi" w:hAnsiTheme="majorHAnsi"/>
        </w:rPr>
        <w:t xml:space="preserve">representative </w:t>
      </w:r>
    </w:p>
    <w:p w:rsidR="005514DC" w:rsidRPr="005514DC" w:rsidRDefault="005514DC" w:rsidP="005514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details of t</w:t>
      </w:r>
      <w:r w:rsidRPr="005514DC">
        <w:rPr>
          <w:rFonts w:asciiTheme="majorHAnsi" w:hAnsiTheme="majorHAnsi"/>
        </w:rPr>
        <w:t>he data protection officer, if any;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e</w:t>
      </w:r>
      <w:r w:rsidRPr="000D7DAB">
        <w:rPr>
          <w:rFonts w:asciiTheme="majorHAnsi" w:hAnsiTheme="majorHAnsi"/>
        </w:rPr>
        <w:t>) the purpose</w:t>
      </w:r>
      <w:r>
        <w:rPr>
          <w:rFonts w:asciiTheme="majorHAnsi" w:hAnsiTheme="majorHAnsi"/>
        </w:rPr>
        <w:t>(</w:t>
      </w:r>
      <w:r w:rsidRPr="000D7DAB">
        <w:rPr>
          <w:rFonts w:asciiTheme="majorHAnsi" w:hAnsiTheme="majorHAnsi"/>
        </w:rPr>
        <w:t>s</w:t>
      </w:r>
      <w:r>
        <w:rPr>
          <w:rFonts w:asciiTheme="majorHAnsi" w:hAnsiTheme="majorHAnsi"/>
        </w:rPr>
        <w:t>)</w:t>
      </w:r>
      <w:r w:rsidRPr="000D7DAB">
        <w:rPr>
          <w:rFonts w:asciiTheme="majorHAnsi" w:hAnsiTheme="majorHAnsi"/>
        </w:rPr>
        <w:t xml:space="preserve"> of the processing;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(f</w:t>
      </w:r>
      <w:r w:rsidRPr="000D7DAB">
        <w:rPr>
          <w:rFonts w:asciiTheme="majorHAnsi" w:hAnsiTheme="majorHAnsi"/>
        </w:rPr>
        <w:t>) a description of categories of data subjects and of the categories of personal data;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(g</w:t>
      </w:r>
      <w:r w:rsidRPr="000D7DAB">
        <w:rPr>
          <w:rFonts w:asciiTheme="majorHAnsi" w:hAnsiTheme="majorHAnsi"/>
        </w:rPr>
        <w:t>) the categories of recipients to whom the personal data have been or will be disclosed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including recipients in third countries;</w:t>
      </w:r>
    </w:p>
    <w:p w:rsidR="005514DC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(h</w:t>
      </w:r>
      <w:r w:rsidRPr="000D7DAB">
        <w:rPr>
          <w:rFonts w:asciiTheme="majorHAnsi" w:hAnsiTheme="majorHAnsi"/>
        </w:rPr>
        <w:t xml:space="preserve">) where applicable, </w:t>
      </w:r>
      <w:r>
        <w:rPr>
          <w:rFonts w:asciiTheme="majorHAnsi" w:hAnsiTheme="majorHAnsi"/>
        </w:rPr>
        <w:t xml:space="preserve">with </w:t>
      </w:r>
      <w:r w:rsidRPr="000D7DAB">
        <w:rPr>
          <w:rFonts w:asciiTheme="majorHAnsi" w:hAnsiTheme="majorHAnsi"/>
        </w:rPr>
        <w:t xml:space="preserve">transfers of data to a third country or an international organisation, the identification of that third country or international organisation 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(i) </w:t>
      </w:r>
      <w:r w:rsidRPr="000D7DAB">
        <w:rPr>
          <w:rFonts w:asciiTheme="majorHAnsi" w:hAnsiTheme="majorHAnsi"/>
        </w:rPr>
        <w:t>the documentation of appropriate safeguards;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(j</w:t>
      </w:r>
      <w:r w:rsidRPr="000D7DAB">
        <w:rPr>
          <w:rFonts w:asciiTheme="majorHAnsi" w:hAnsiTheme="majorHAnsi"/>
        </w:rPr>
        <w:t>) where possible, the envisaged time limits for erasure of the different categories of data;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(k</w:t>
      </w:r>
      <w:r w:rsidRPr="000D7DAB">
        <w:rPr>
          <w:rFonts w:asciiTheme="majorHAnsi" w:hAnsiTheme="majorHAnsi"/>
        </w:rPr>
        <w:t>) where possible, a general description of the technical and organisational security</w:t>
      </w:r>
    </w:p>
    <w:p w:rsidR="005514DC" w:rsidRDefault="005514DC" w:rsidP="005514DC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measures </w:t>
      </w:r>
      <w:r>
        <w:rPr>
          <w:rFonts w:asciiTheme="majorHAnsi" w:hAnsiTheme="majorHAnsi"/>
        </w:rPr>
        <w:t>being deployed by the Controller</w:t>
      </w:r>
    </w:p>
    <w:p w:rsidR="005514DC" w:rsidRDefault="005514DC" w:rsidP="005514DC">
      <w:pPr>
        <w:ind w:left="567"/>
        <w:rPr>
          <w:rFonts w:asciiTheme="majorHAnsi" w:hAnsiTheme="majorHAnsi"/>
        </w:rPr>
      </w:pPr>
    </w:p>
    <w:p w:rsidR="005514DC" w:rsidRDefault="005514DC" w:rsidP="005514DC">
      <w:pPr>
        <w:ind w:left="567"/>
        <w:rPr>
          <w:rFonts w:asciiTheme="majorHAnsi" w:hAnsiTheme="majorHAnsi"/>
        </w:rPr>
      </w:pPr>
    </w:p>
    <w:p w:rsidR="005514DC" w:rsidRPr="005514DC" w:rsidRDefault="005514DC" w:rsidP="005514DC">
      <w:pPr>
        <w:rPr>
          <w:rFonts w:asciiTheme="majorHAnsi" w:hAnsiTheme="majorHAnsi"/>
          <w:b/>
        </w:rPr>
      </w:pPr>
      <w:r w:rsidRPr="005514DC">
        <w:rPr>
          <w:rFonts w:asciiTheme="majorHAnsi" w:hAnsiTheme="majorHAnsi"/>
          <w:b/>
        </w:rPr>
        <w:t>Processor’s Activity Log</w:t>
      </w:r>
    </w:p>
    <w:p w:rsidR="005514DC" w:rsidRPr="000D7DAB" w:rsidRDefault="005514DC" w:rsidP="005514DC">
      <w:pPr>
        <w:rPr>
          <w:rFonts w:asciiTheme="majorHAnsi" w:hAnsiTheme="majorHAnsi"/>
        </w:rPr>
      </w:pP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(a</w:t>
      </w:r>
      <w:r w:rsidRPr="000D7DAB">
        <w:rPr>
          <w:rFonts w:asciiTheme="majorHAnsi" w:hAnsiTheme="majorHAnsi"/>
        </w:rPr>
        <w:t>) the name and contact details of each controller on</w:t>
      </w:r>
      <w:r>
        <w:rPr>
          <w:rFonts w:asciiTheme="majorHAnsi" w:hAnsiTheme="majorHAnsi"/>
        </w:rPr>
        <w:t xml:space="preserve"> </w:t>
      </w:r>
      <w:r w:rsidRPr="000D7DAB">
        <w:rPr>
          <w:rFonts w:asciiTheme="majorHAnsi" w:hAnsiTheme="majorHAnsi"/>
        </w:rPr>
        <w:t>behalf of which the processor is acting, and of the controller's or the processor’s representative, and the data protection officer, if any;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Pr="000D7DAB">
        <w:rPr>
          <w:rFonts w:asciiTheme="majorHAnsi" w:hAnsiTheme="majorHAnsi"/>
        </w:rPr>
        <w:t>) the categories of processing carried out on behalf of each controller;</w:t>
      </w:r>
    </w:p>
    <w:p w:rsidR="005514DC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r w:rsidRPr="000D7DAB">
        <w:rPr>
          <w:rFonts w:asciiTheme="majorHAnsi" w:hAnsiTheme="majorHAnsi"/>
        </w:rPr>
        <w:t xml:space="preserve">) where applicable, transfers of data to a third country or an international organisation, including the identification of that third country or international organisation 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 w:rsidRPr="000D7DAB">
        <w:rPr>
          <w:rFonts w:asciiTheme="majorHAnsi" w:hAnsiTheme="majorHAnsi"/>
        </w:rPr>
        <w:t xml:space="preserve"> the documentation of appropriate safeguards;</w:t>
      </w:r>
    </w:p>
    <w:p w:rsidR="005514DC" w:rsidRPr="000D7DAB" w:rsidRDefault="005514DC" w:rsidP="005514DC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(e) where possible, a general description of the technical and organisational security</w:t>
      </w:r>
    </w:p>
    <w:p w:rsidR="005514DC" w:rsidRDefault="005514DC" w:rsidP="005514DC">
      <w:pPr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measures </w:t>
      </w:r>
      <w:r>
        <w:rPr>
          <w:rFonts w:asciiTheme="majorHAnsi" w:hAnsiTheme="majorHAnsi"/>
        </w:rPr>
        <w:t>being taken</w:t>
      </w:r>
    </w:p>
    <w:p w:rsidR="00063A98" w:rsidRDefault="00063A98" w:rsidP="005514DC">
      <w:pPr>
        <w:rPr>
          <w:rFonts w:asciiTheme="majorHAnsi" w:hAnsiTheme="majorHAnsi"/>
        </w:rPr>
      </w:pPr>
    </w:p>
    <w:p w:rsidR="006E1FD0" w:rsidRPr="006E1FD0" w:rsidRDefault="006E1FD0" w:rsidP="005514DC">
      <w:pPr>
        <w:rPr>
          <w:rFonts w:asciiTheme="majorHAnsi" w:hAnsiTheme="majorHAnsi"/>
          <w:b/>
        </w:rPr>
      </w:pPr>
      <w:r w:rsidRPr="006E1FD0">
        <w:rPr>
          <w:rFonts w:asciiTheme="majorHAnsi" w:hAnsiTheme="majorHAnsi"/>
          <w:b/>
        </w:rPr>
        <w:t>Data Breach Log</w:t>
      </w:r>
    </w:p>
    <w:p w:rsidR="006E1FD0" w:rsidRPr="000D7DAB" w:rsidRDefault="006E1FD0" w:rsidP="005514D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 log of incidents which indicate a weakness in data management structures within the organisation</w:t>
      </w:r>
    </w:p>
    <w:p w:rsidR="005514DC" w:rsidRDefault="005514DC"/>
    <w:p w:rsidR="00D47902" w:rsidRDefault="00D47902">
      <w:pPr>
        <w:rPr>
          <w:b/>
        </w:rPr>
      </w:pPr>
    </w:p>
    <w:p w:rsidR="005514DC" w:rsidRPr="006E1FD0" w:rsidRDefault="005514DC">
      <w:pPr>
        <w:rPr>
          <w:b/>
        </w:rPr>
      </w:pPr>
      <w:r w:rsidRPr="006E1FD0">
        <w:rPr>
          <w:b/>
        </w:rPr>
        <w:lastRenderedPageBreak/>
        <w:t xml:space="preserve">Data Breach </w:t>
      </w:r>
      <w:r w:rsidR="00A63513" w:rsidRPr="006E1FD0">
        <w:rPr>
          <w:b/>
        </w:rPr>
        <w:t xml:space="preserve">Notification </w:t>
      </w:r>
      <w:r w:rsidR="006E1FD0" w:rsidRPr="006E1FD0">
        <w:rPr>
          <w:b/>
        </w:rPr>
        <w:t xml:space="preserve">Report </w:t>
      </w:r>
      <w:r w:rsidR="00A63513" w:rsidRPr="006E1FD0">
        <w:rPr>
          <w:b/>
        </w:rPr>
        <w:t>template</w:t>
      </w:r>
    </w:p>
    <w:p w:rsidR="00A63513" w:rsidRPr="00A63513" w:rsidRDefault="00A63513" w:rsidP="00A6351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3513">
        <w:rPr>
          <w:rFonts w:asciiTheme="majorHAnsi" w:hAnsiTheme="majorHAnsi"/>
        </w:rPr>
        <w:t xml:space="preserve">description the nature of the personal data breach including where possible, </w:t>
      </w:r>
    </w:p>
    <w:p w:rsidR="00A63513" w:rsidRDefault="00A63513" w:rsidP="00A6351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3513">
        <w:rPr>
          <w:rFonts w:asciiTheme="majorHAnsi" w:hAnsiTheme="majorHAnsi"/>
        </w:rPr>
        <w:t>the categories and approximate number of data subjects concerned and</w:t>
      </w:r>
    </w:p>
    <w:p w:rsidR="00A63513" w:rsidRPr="00A63513" w:rsidRDefault="00A63513" w:rsidP="00A6351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3513">
        <w:rPr>
          <w:rFonts w:asciiTheme="majorHAnsi" w:hAnsiTheme="majorHAnsi"/>
        </w:rPr>
        <w:t>the categories and approximate number of data records concerned;</w:t>
      </w:r>
    </w:p>
    <w:p w:rsidR="00A63513" w:rsidRPr="000D7DAB" w:rsidRDefault="00A63513" w:rsidP="00A63513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d) </w:t>
      </w:r>
      <w:r w:rsidRPr="000D7DAB">
        <w:rPr>
          <w:rFonts w:asciiTheme="majorHAnsi" w:hAnsiTheme="majorHAnsi"/>
        </w:rPr>
        <w:t xml:space="preserve">the name and contact details of the data protection officer or other contact </w:t>
      </w:r>
      <w:r>
        <w:rPr>
          <w:rFonts w:asciiTheme="majorHAnsi" w:hAnsiTheme="majorHAnsi"/>
        </w:rPr>
        <w:t xml:space="preserve">from whom more </w:t>
      </w:r>
      <w:r w:rsidRPr="000D7DAB">
        <w:rPr>
          <w:rFonts w:asciiTheme="majorHAnsi" w:hAnsiTheme="majorHAnsi"/>
        </w:rPr>
        <w:t>information can be obtained;</w:t>
      </w:r>
    </w:p>
    <w:p w:rsidR="00A63513" w:rsidRPr="000D7DAB" w:rsidRDefault="00A63513" w:rsidP="00A63513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(e</w:t>
      </w:r>
      <w:r w:rsidRPr="000D7DA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an outline of </w:t>
      </w:r>
      <w:r w:rsidRPr="000D7DAB">
        <w:rPr>
          <w:rFonts w:asciiTheme="majorHAnsi" w:hAnsiTheme="majorHAnsi"/>
        </w:rPr>
        <w:t>the likely consequences of the personal data breach;</w:t>
      </w:r>
    </w:p>
    <w:p w:rsidR="00A63513" w:rsidRPr="000D7DAB" w:rsidRDefault="00A63513" w:rsidP="00A63513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(f</w:t>
      </w:r>
      <w:r w:rsidRPr="000D7DA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an outline of</w:t>
      </w:r>
      <w:r w:rsidRPr="000D7DAB">
        <w:rPr>
          <w:rFonts w:asciiTheme="majorHAnsi" w:hAnsiTheme="majorHAnsi"/>
        </w:rPr>
        <w:t xml:space="preserve"> the measures taken or proposed to be taken by the controller to address the</w:t>
      </w:r>
    </w:p>
    <w:p w:rsidR="00A63513" w:rsidRPr="000D7DAB" w:rsidRDefault="00A63513" w:rsidP="00A63513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personal data breach, including, where appropriate, to mitigate its possible adverse</w:t>
      </w:r>
    </w:p>
    <w:p w:rsidR="00A63513" w:rsidRPr="000D7DAB" w:rsidRDefault="00A63513" w:rsidP="00A63513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effects.</w:t>
      </w:r>
    </w:p>
    <w:p w:rsidR="00A63513" w:rsidRDefault="00A63513"/>
    <w:p w:rsidR="00A63513" w:rsidRPr="006E1FD0" w:rsidRDefault="007E66BD">
      <w:pPr>
        <w:rPr>
          <w:b/>
        </w:rPr>
      </w:pPr>
      <w:r w:rsidRPr="006E1FD0">
        <w:rPr>
          <w:b/>
        </w:rPr>
        <w:t>Privacy Impact Assessment Template</w:t>
      </w:r>
    </w:p>
    <w:p w:rsidR="007E66BD" w:rsidRDefault="007E66BD"/>
    <w:p w:rsidR="007E66BD" w:rsidRPr="007E66BD" w:rsidRDefault="007E66BD" w:rsidP="007E66B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E66BD">
        <w:rPr>
          <w:rFonts w:asciiTheme="majorHAnsi" w:hAnsiTheme="majorHAnsi"/>
        </w:rPr>
        <w:t xml:space="preserve">a systematic description of the envisaged processing operations and </w:t>
      </w:r>
    </w:p>
    <w:p w:rsidR="007E66BD" w:rsidRPr="007E66BD" w:rsidRDefault="007E66BD" w:rsidP="007E66B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description of </w:t>
      </w:r>
      <w:r w:rsidRPr="007E66BD">
        <w:rPr>
          <w:rFonts w:asciiTheme="majorHAnsi" w:hAnsiTheme="majorHAnsi"/>
        </w:rPr>
        <w:t>the purposes of the processing, including where applicable the</w:t>
      </w:r>
      <w:r>
        <w:rPr>
          <w:rFonts w:asciiTheme="majorHAnsi" w:hAnsiTheme="majorHAnsi"/>
        </w:rPr>
        <w:t xml:space="preserve"> basis for the</w:t>
      </w:r>
      <w:r w:rsidRPr="007E66BD">
        <w:rPr>
          <w:rFonts w:asciiTheme="majorHAnsi" w:hAnsiTheme="majorHAnsi"/>
        </w:rPr>
        <w:t xml:space="preserve"> legitimate interest pursued by the controller;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</w:t>
      </w:r>
      <w:r>
        <w:rPr>
          <w:rFonts w:asciiTheme="majorHAnsi" w:hAnsiTheme="majorHAnsi"/>
        </w:rPr>
        <w:t>c</w:t>
      </w:r>
      <w:r w:rsidRPr="000D7DAB">
        <w:rPr>
          <w:rFonts w:asciiTheme="majorHAnsi" w:hAnsiTheme="majorHAnsi"/>
        </w:rPr>
        <w:t>) an assessment of the necessity and proportionality of the processing operations in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relation to the purposes</w:t>
      </w:r>
      <w:r>
        <w:rPr>
          <w:rFonts w:asciiTheme="majorHAnsi" w:hAnsiTheme="majorHAnsi"/>
        </w:rPr>
        <w:t xml:space="preserve"> (i.e. justification for conducting the processing in this way)</w:t>
      </w:r>
      <w:r w:rsidRPr="000D7DAB">
        <w:rPr>
          <w:rFonts w:asciiTheme="majorHAnsi" w:hAnsiTheme="majorHAnsi"/>
        </w:rPr>
        <w:t>;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(d</w:t>
      </w:r>
      <w:r w:rsidRPr="000D7DAB">
        <w:rPr>
          <w:rFonts w:asciiTheme="majorHAnsi" w:hAnsiTheme="majorHAnsi"/>
        </w:rPr>
        <w:t>) an assessment of the risks to the rights and freedoms of data subjects;</w:t>
      </w:r>
    </w:p>
    <w:p w:rsidR="007E66BD" w:rsidRDefault="007E66BD" w:rsidP="007E66BD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(e</w:t>
      </w:r>
      <w:r w:rsidRPr="000D7DAB">
        <w:rPr>
          <w:rFonts w:asciiTheme="majorHAnsi" w:hAnsiTheme="majorHAnsi"/>
        </w:rPr>
        <w:t>) the measures envisaged to address the risks, including safeguards, security measures and mechanisms to ensure the protection of personal data and to demonstrate</w:t>
      </w:r>
      <w:r>
        <w:rPr>
          <w:rFonts w:asciiTheme="majorHAnsi" w:hAnsiTheme="majorHAnsi"/>
        </w:rPr>
        <w:t xml:space="preserve"> </w:t>
      </w:r>
      <w:r w:rsidRPr="000D7DAB">
        <w:rPr>
          <w:rFonts w:asciiTheme="majorHAnsi" w:hAnsiTheme="majorHAnsi"/>
        </w:rPr>
        <w:t xml:space="preserve">compliance with this Regulation </w:t>
      </w:r>
    </w:p>
    <w:p w:rsidR="007E66BD" w:rsidRDefault="007E66BD" w:rsidP="007E66BD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(f) Details of co</w:t>
      </w:r>
      <w:r w:rsidRPr="000D7DAB">
        <w:rPr>
          <w:rFonts w:asciiTheme="majorHAnsi" w:hAnsiTheme="majorHAnsi"/>
        </w:rPr>
        <w:t>mpliance with approved codes of conduct by the relevant</w:t>
      </w:r>
      <w:r>
        <w:rPr>
          <w:rFonts w:asciiTheme="majorHAnsi" w:hAnsiTheme="majorHAnsi"/>
        </w:rPr>
        <w:t xml:space="preserve"> </w:t>
      </w:r>
      <w:r w:rsidRPr="000D7DAB">
        <w:rPr>
          <w:rFonts w:asciiTheme="majorHAnsi" w:hAnsiTheme="majorHAnsi"/>
        </w:rPr>
        <w:t xml:space="preserve">controllers or processors </w:t>
      </w:r>
    </w:p>
    <w:p w:rsidR="007E66BD" w:rsidRDefault="007E66BD" w:rsidP="007E66BD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(g) Details </w:t>
      </w:r>
      <w:r w:rsidRPr="000D7DAB">
        <w:rPr>
          <w:rFonts w:asciiTheme="majorHAnsi" w:hAnsiTheme="majorHAnsi"/>
        </w:rPr>
        <w:t>of data subjects</w:t>
      </w:r>
      <w:r>
        <w:rPr>
          <w:rFonts w:asciiTheme="majorHAnsi" w:hAnsiTheme="majorHAnsi"/>
        </w:rPr>
        <w:t xml:space="preserve"> and other stakeholders involved in the assessment of the i</w:t>
      </w:r>
      <w:r w:rsidRPr="000D7DAB">
        <w:rPr>
          <w:rFonts w:asciiTheme="majorHAnsi" w:hAnsiTheme="majorHAnsi"/>
        </w:rPr>
        <w:t>ntende</w:t>
      </w:r>
      <w:r>
        <w:rPr>
          <w:rFonts w:asciiTheme="majorHAnsi" w:hAnsiTheme="majorHAnsi"/>
        </w:rPr>
        <w:t>d processing</w:t>
      </w:r>
    </w:p>
    <w:p w:rsidR="007E66BD" w:rsidRDefault="007E66BD" w:rsidP="007E66BD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(h) Whether the respective</w:t>
      </w:r>
      <w:r w:rsidRPr="000D7DAB">
        <w:rPr>
          <w:rFonts w:asciiTheme="majorHAnsi" w:hAnsiTheme="majorHAnsi"/>
        </w:rPr>
        <w:t xml:space="preserve"> Member States </w:t>
      </w:r>
      <w:r>
        <w:rPr>
          <w:rFonts w:asciiTheme="majorHAnsi" w:hAnsiTheme="majorHAnsi"/>
        </w:rPr>
        <w:t xml:space="preserve">/ Supervisory Authority has </w:t>
      </w:r>
      <w:r w:rsidRPr="000D7DAB">
        <w:rPr>
          <w:rFonts w:asciiTheme="majorHAnsi" w:hAnsiTheme="majorHAnsi"/>
        </w:rPr>
        <w:t>deem</w:t>
      </w:r>
      <w:r>
        <w:rPr>
          <w:rFonts w:asciiTheme="majorHAnsi" w:hAnsiTheme="majorHAnsi"/>
        </w:rPr>
        <w:t>ed</w:t>
      </w:r>
      <w:r w:rsidRPr="000D7DAB">
        <w:rPr>
          <w:rFonts w:asciiTheme="majorHAnsi" w:hAnsiTheme="majorHAnsi"/>
        </w:rPr>
        <w:t xml:space="preserve"> it</w:t>
      </w:r>
      <w:r>
        <w:rPr>
          <w:rFonts w:asciiTheme="majorHAnsi" w:hAnsiTheme="majorHAnsi"/>
        </w:rPr>
        <w:t xml:space="preserve"> mandatory for the PIA to be carried out</w:t>
      </w:r>
    </w:p>
    <w:p w:rsidR="007E66BD" w:rsidRDefault="007E66BD" w:rsidP="001328E4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(i) Details where t</w:t>
      </w:r>
      <w:r w:rsidRPr="000D7DAB">
        <w:rPr>
          <w:rFonts w:asciiTheme="majorHAnsi" w:hAnsiTheme="majorHAnsi"/>
        </w:rPr>
        <w:t xml:space="preserve">he controller </w:t>
      </w:r>
      <w:r>
        <w:rPr>
          <w:rFonts w:asciiTheme="majorHAnsi" w:hAnsiTheme="majorHAnsi"/>
        </w:rPr>
        <w:t>has</w:t>
      </w:r>
      <w:r w:rsidRPr="000D7DAB">
        <w:rPr>
          <w:rFonts w:asciiTheme="majorHAnsi" w:hAnsiTheme="majorHAnsi"/>
        </w:rPr>
        <w:t xml:space="preserve"> consult</w:t>
      </w:r>
      <w:r>
        <w:rPr>
          <w:rFonts w:asciiTheme="majorHAnsi" w:hAnsiTheme="majorHAnsi"/>
        </w:rPr>
        <w:t>ed</w:t>
      </w:r>
      <w:r w:rsidRPr="000D7DAB">
        <w:rPr>
          <w:rFonts w:asciiTheme="majorHAnsi" w:hAnsiTheme="majorHAnsi"/>
        </w:rPr>
        <w:t xml:space="preserve"> the supervisory authority prior to the processing of personal data </w:t>
      </w:r>
    </w:p>
    <w:p w:rsidR="007E66BD" w:rsidRDefault="001328E4" w:rsidP="001328E4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(j) Details of any response from the Supervisory Authority with regard to the intended processing</w:t>
      </w:r>
    </w:p>
    <w:p w:rsidR="001328E4" w:rsidRDefault="001328E4" w:rsidP="001328E4">
      <w:pPr>
        <w:ind w:left="567"/>
        <w:rPr>
          <w:rFonts w:asciiTheme="majorHAnsi" w:hAnsiTheme="majorHAnsi"/>
        </w:rPr>
      </w:pPr>
    </w:p>
    <w:p w:rsidR="00D47902" w:rsidRDefault="00D47902" w:rsidP="001328E4">
      <w:pPr>
        <w:rPr>
          <w:rFonts w:asciiTheme="majorHAnsi" w:hAnsiTheme="majorHAnsi"/>
          <w:b/>
        </w:rPr>
      </w:pPr>
    </w:p>
    <w:p w:rsidR="00D47902" w:rsidRDefault="00D47902" w:rsidP="001328E4">
      <w:pPr>
        <w:rPr>
          <w:rFonts w:asciiTheme="majorHAnsi" w:hAnsiTheme="majorHAnsi"/>
          <w:b/>
        </w:rPr>
      </w:pPr>
    </w:p>
    <w:p w:rsidR="001328E4" w:rsidRPr="006E1FD0" w:rsidRDefault="001328E4" w:rsidP="001328E4">
      <w:pPr>
        <w:rPr>
          <w:rFonts w:asciiTheme="majorHAnsi" w:hAnsiTheme="majorHAnsi"/>
          <w:b/>
        </w:rPr>
      </w:pPr>
      <w:r w:rsidRPr="006E1FD0">
        <w:rPr>
          <w:rFonts w:asciiTheme="majorHAnsi" w:hAnsiTheme="majorHAnsi"/>
          <w:b/>
        </w:rPr>
        <w:lastRenderedPageBreak/>
        <w:t>Prior Consultation with the Supervisory Authority re PIA</w:t>
      </w:r>
    </w:p>
    <w:p w:rsidR="007E66BD" w:rsidRPr="000D7DAB" w:rsidRDefault="007E66BD" w:rsidP="007E66BD">
      <w:pPr>
        <w:rPr>
          <w:rFonts w:asciiTheme="majorHAnsi" w:hAnsiTheme="majorHAnsi"/>
        </w:rPr>
      </w:pPr>
      <w:r w:rsidRPr="000D7DAB">
        <w:rPr>
          <w:rFonts w:asciiTheme="majorHAnsi" w:hAnsiTheme="majorHAnsi"/>
        </w:rPr>
        <w:t>6. When consulting the supervisory authority pursuant to paragraph 2, the controller shall</w:t>
      </w:r>
    </w:p>
    <w:p w:rsidR="007E66BD" w:rsidRPr="000D7DAB" w:rsidRDefault="007E66BD" w:rsidP="007E66BD">
      <w:pPr>
        <w:rPr>
          <w:rFonts w:asciiTheme="majorHAnsi" w:hAnsiTheme="majorHAnsi"/>
        </w:rPr>
      </w:pPr>
      <w:r w:rsidRPr="000D7DAB">
        <w:rPr>
          <w:rFonts w:asciiTheme="majorHAnsi" w:hAnsiTheme="majorHAnsi"/>
        </w:rPr>
        <w:t>provide the supervisory authority with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(a) </w:t>
      </w:r>
      <w:r w:rsidR="001328E4">
        <w:rPr>
          <w:rFonts w:asciiTheme="majorHAnsi" w:hAnsiTheme="majorHAnsi"/>
        </w:rPr>
        <w:t>an outline of</w:t>
      </w:r>
      <w:r w:rsidRPr="000D7DAB">
        <w:rPr>
          <w:rFonts w:asciiTheme="majorHAnsi" w:hAnsiTheme="majorHAnsi"/>
        </w:rPr>
        <w:t xml:space="preserve"> the respective responsibilities of controller, joint controllers and</w:t>
      </w:r>
    </w:p>
    <w:p w:rsidR="007E66BD" w:rsidRPr="000D7DAB" w:rsidRDefault="007E66BD" w:rsidP="001328E4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processors involved in the processing,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(b) the purposes and means of the intended processing;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(c) the measures and safeguards provided to protect the rights and freedoms of data subjects pursuant to this Regulation;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bookmarkStart w:id="0" w:name="_GoBack"/>
      <w:bookmarkEnd w:id="0"/>
      <w:r w:rsidRPr="000D7DAB">
        <w:rPr>
          <w:rFonts w:asciiTheme="majorHAnsi" w:hAnsiTheme="majorHAnsi"/>
        </w:rPr>
        <w:t>(d) where applicable, the contact details of the data protection officer;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 xml:space="preserve">(e) the </w:t>
      </w:r>
      <w:r w:rsidR="001328E4">
        <w:rPr>
          <w:rFonts w:asciiTheme="majorHAnsi" w:hAnsiTheme="majorHAnsi"/>
        </w:rPr>
        <w:t xml:space="preserve">initial </w:t>
      </w:r>
      <w:r w:rsidRPr="000D7DAB">
        <w:rPr>
          <w:rFonts w:asciiTheme="majorHAnsi" w:hAnsiTheme="majorHAnsi"/>
        </w:rPr>
        <w:t>data protection impact assessment and</w:t>
      </w:r>
    </w:p>
    <w:p w:rsidR="007E66BD" w:rsidRPr="000D7DAB" w:rsidRDefault="007E66BD" w:rsidP="007E66BD">
      <w:pPr>
        <w:ind w:left="567"/>
        <w:rPr>
          <w:rFonts w:asciiTheme="majorHAnsi" w:hAnsiTheme="majorHAnsi"/>
        </w:rPr>
      </w:pPr>
      <w:r w:rsidRPr="000D7DAB">
        <w:rPr>
          <w:rFonts w:asciiTheme="majorHAnsi" w:hAnsiTheme="majorHAnsi"/>
        </w:rPr>
        <w:t>(f) any other information requested by the supervisory authority.</w:t>
      </w:r>
    </w:p>
    <w:p w:rsidR="007E66BD" w:rsidRDefault="007E66BD"/>
    <w:sectPr w:rsidR="007E66BD" w:rsidSect="00B46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EB0"/>
    <w:multiLevelType w:val="hybridMultilevel"/>
    <w:tmpl w:val="C116F9F8"/>
    <w:lvl w:ilvl="0" w:tplc="98686E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B7C9B"/>
    <w:multiLevelType w:val="hybridMultilevel"/>
    <w:tmpl w:val="5276D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039D"/>
    <w:multiLevelType w:val="hybridMultilevel"/>
    <w:tmpl w:val="A6F20DBA"/>
    <w:lvl w:ilvl="0" w:tplc="98686E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2213"/>
    <w:multiLevelType w:val="hybridMultilevel"/>
    <w:tmpl w:val="E782217C"/>
    <w:lvl w:ilvl="0" w:tplc="98686E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CC6AAB"/>
    <w:multiLevelType w:val="hybridMultilevel"/>
    <w:tmpl w:val="726ADC66"/>
    <w:lvl w:ilvl="0" w:tplc="98686ED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4DC"/>
    <w:rsid w:val="00063A98"/>
    <w:rsid w:val="001328E4"/>
    <w:rsid w:val="00232330"/>
    <w:rsid w:val="005514DC"/>
    <w:rsid w:val="006E1FD0"/>
    <w:rsid w:val="007E66BD"/>
    <w:rsid w:val="00A63513"/>
    <w:rsid w:val="00A70FBF"/>
    <w:rsid w:val="00B46F30"/>
    <w:rsid w:val="00D47902"/>
    <w:rsid w:val="00E31591"/>
    <w:rsid w:val="00F05B6D"/>
    <w:rsid w:val="00F6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Sytorus</dc:creator>
  <cp:lastModifiedBy>temp</cp:lastModifiedBy>
  <cp:revision>2</cp:revision>
  <dcterms:created xsi:type="dcterms:W3CDTF">2018-03-27T15:22:00Z</dcterms:created>
  <dcterms:modified xsi:type="dcterms:W3CDTF">2018-03-27T15:22:00Z</dcterms:modified>
</cp:coreProperties>
</file>